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159ED153" w:rsidR="00EB10CB" w:rsidRPr="00FC7BBB" w:rsidRDefault="005F7EDB" w:rsidP="00581FED">
      <w:pPr>
        <w:tabs>
          <w:tab w:val="right" w:pos="9360"/>
        </w:tabs>
        <w:spacing w:after="0"/>
        <w:jc w:val="both"/>
        <w:rPr>
          <w:rFonts w:ascii="Arial" w:hAnsi="Arial" w:cs="Arial"/>
          <w:b/>
          <w:i/>
          <w:sz w:val="24"/>
          <w:lang w:eastAsia="zh-CN"/>
        </w:rPr>
      </w:pPr>
      <w:bookmarkStart w:id="0" w:name="OLE_LINK6"/>
      <w:bookmarkStart w:id="1" w:name="OLE_LINK7"/>
      <w:bookmarkStart w:id="2" w:name="_GoBack"/>
      <w:bookmarkEnd w:id="2"/>
      <w:r w:rsidRPr="005F7EDB">
        <w:rPr>
          <w:rFonts w:ascii="Arial" w:hAnsi="Arial" w:cs="Arial"/>
          <w:b/>
          <w:sz w:val="24"/>
        </w:rPr>
        <w:t>3GPP TSG RAN WG1 Meeting #86bis</w:t>
      </w:r>
      <w:r w:rsidR="00E926CB">
        <w:rPr>
          <w:rFonts w:ascii="Arial" w:hAnsi="Arial" w:cs="Arial"/>
          <w:b/>
          <w:sz w:val="24"/>
        </w:rPr>
        <w:t xml:space="preserve">      </w:t>
      </w:r>
      <w:r w:rsidR="00FC27AE" w:rsidRPr="00FC7BBB">
        <w:rPr>
          <w:rFonts w:ascii="Arial" w:hAnsi="Arial" w:cs="Arial"/>
          <w:b/>
          <w:sz w:val="24"/>
        </w:rPr>
        <w:t xml:space="preserve">                                                         </w:t>
      </w:r>
      <w:r>
        <w:rPr>
          <w:rFonts w:ascii="Arial" w:hAnsi="Arial" w:cs="Arial"/>
          <w:b/>
          <w:sz w:val="24"/>
        </w:rPr>
        <w:tab/>
        <w:t xml:space="preserve">   </w:t>
      </w:r>
      <w:r w:rsidRPr="005F7EDB">
        <w:rPr>
          <w:rFonts w:ascii="Arial" w:hAnsi="Arial" w:cs="Arial"/>
          <w:b/>
          <w:sz w:val="24"/>
        </w:rPr>
        <w:t>R1-1609508</w:t>
      </w:r>
    </w:p>
    <w:p w14:paraId="5C3E292E" w14:textId="1CC33349" w:rsidR="00EB10CB" w:rsidRPr="00FC7BBB" w:rsidRDefault="005F7EDB" w:rsidP="00581FED">
      <w:pPr>
        <w:spacing w:after="0"/>
        <w:rPr>
          <w:rFonts w:ascii="Arial" w:hAnsi="Arial" w:cs="Arial"/>
          <w:b/>
          <w:sz w:val="24"/>
        </w:rPr>
      </w:pPr>
      <w:r w:rsidRPr="005F7EDB">
        <w:rPr>
          <w:rFonts w:ascii="Arial" w:eastAsia="MS Mincho" w:hAnsi="Arial" w:cs="Arial"/>
          <w:b/>
          <w:bCs/>
          <w:sz w:val="24"/>
          <w:lang w:val="en-US" w:eastAsia="ja-JP"/>
        </w:rPr>
        <w:t>Lisbon, Portugal 10th - 14th October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1EFCFDA5"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3" w:name="Source"/>
      <w:bookmarkEnd w:id="3"/>
      <w:r w:rsidR="005F7EDB" w:rsidRPr="005F7EDB">
        <w:rPr>
          <w:rFonts w:ascii="Arial" w:hAnsi="Arial"/>
          <w:b/>
          <w:sz w:val="24"/>
        </w:rPr>
        <w:t>8.1.2.2</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2B536CA6"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5F7EDB" w:rsidRPr="005F7EDB">
        <w:rPr>
          <w:rFonts w:ascii="Arial" w:hAnsi="Arial"/>
          <w:b/>
          <w:sz w:val="24"/>
        </w:rPr>
        <w:t>Frame Structure for NR unlicensed operation</w:t>
      </w:r>
    </w:p>
    <w:p w14:paraId="752CCA5F" w14:textId="341E9E14"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4" w:name="DocumentFor"/>
      <w:bookmarkEnd w:id="4"/>
      <w:r w:rsidR="004D3FA2">
        <w:rPr>
          <w:rFonts w:ascii="Arial" w:hAnsi="Arial"/>
          <w:b/>
          <w:sz w:val="24"/>
        </w:rPr>
        <w:t>Discussion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112BFED8" w14:textId="5BC58AA2" w:rsidR="00795332" w:rsidRDefault="00084DAB" w:rsidP="00FC7BBB">
      <w:pPr>
        <w:pStyle w:val="LGTdoc"/>
        <w:spacing w:before="20" w:afterLines="0" w:line="240" w:lineRule="auto"/>
        <w:rPr>
          <w:sz w:val="20"/>
          <w:szCs w:val="20"/>
          <w:lang w:val="en-US"/>
        </w:rPr>
      </w:pPr>
      <w:r>
        <w:rPr>
          <w:sz w:val="20"/>
          <w:szCs w:val="20"/>
          <w:lang w:val="en-US"/>
        </w:rPr>
        <w:t xml:space="preserve">In this contribution, </w:t>
      </w:r>
      <w:r w:rsidR="00B134E8">
        <w:rPr>
          <w:sz w:val="20"/>
          <w:szCs w:val="20"/>
          <w:lang w:val="en-US"/>
        </w:rPr>
        <w:t xml:space="preserve">we discuss forward compatibility considerations </w:t>
      </w:r>
      <w:r w:rsidR="003A717A">
        <w:rPr>
          <w:sz w:val="20"/>
          <w:szCs w:val="20"/>
          <w:lang w:val="en-US"/>
        </w:rPr>
        <w:t>for</w:t>
      </w:r>
      <w:r w:rsidR="00B134E8">
        <w:rPr>
          <w:sz w:val="20"/>
          <w:szCs w:val="20"/>
          <w:lang w:val="en-US"/>
        </w:rPr>
        <w:t xml:space="preserve"> the</w:t>
      </w:r>
      <w:r w:rsidR="004D34CA">
        <w:rPr>
          <w:sz w:val="20"/>
          <w:szCs w:val="20"/>
          <w:lang w:val="en-US"/>
        </w:rPr>
        <w:t xml:space="preserve"> NR </w:t>
      </w:r>
      <w:r w:rsidR="00696C02">
        <w:rPr>
          <w:sz w:val="20"/>
          <w:szCs w:val="20"/>
          <w:lang w:val="en-US"/>
        </w:rPr>
        <w:t xml:space="preserve">Phase I </w:t>
      </w:r>
      <w:r w:rsidR="004D34CA">
        <w:rPr>
          <w:sz w:val="20"/>
          <w:szCs w:val="20"/>
          <w:lang w:val="en-US"/>
        </w:rPr>
        <w:t xml:space="preserve">design to </w:t>
      </w:r>
      <w:r w:rsidR="00696C02">
        <w:rPr>
          <w:sz w:val="20"/>
          <w:szCs w:val="20"/>
          <w:lang w:val="en-US"/>
        </w:rPr>
        <w:t>enable</w:t>
      </w:r>
      <w:r w:rsidR="004D34CA">
        <w:rPr>
          <w:sz w:val="20"/>
          <w:szCs w:val="20"/>
          <w:lang w:val="en-US"/>
        </w:rPr>
        <w:t xml:space="preserve"> hassle-free NR operation in unlicensed spectrum in the later phase.</w:t>
      </w:r>
      <w:r w:rsidR="00496473">
        <w:rPr>
          <w:sz w:val="20"/>
          <w:szCs w:val="20"/>
          <w:lang w:val="en-US"/>
        </w:rPr>
        <w:t xml:space="preserve"> </w:t>
      </w:r>
      <w:r w:rsidR="00C04768">
        <w:rPr>
          <w:sz w:val="20"/>
          <w:szCs w:val="20"/>
          <w:lang w:val="en-US"/>
        </w:rPr>
        <w:t>In sub-6 GHz, the 5 GHz unlicensed band shall be the main consideration</w:t>
      </w:r>
      <w:r w:rsidR="002D6415">
        <w:rPr>
          <w:sz w:val="20"/>
          <w:szCs w:val="20"/>
          <w:lang w:val="en-US"/>
        </w:rPr>
        <w:t xml:space="preserve"> as in</w:t>
      </w:r>
      <w:r w:rsidR="003A717A">
        <w:rPr>
          <w:sz w:val="20"/>
          <w:szCs w:val="20"/>
          <w:lang w:val="en-US"/>
        </w:rPr>
        <w:t xml:space="preserve"> the</w:t>
      </w:r>
      <w:r w:rsidR="002D6415">
        <w:rPr>
          <w:sz w:val="20"/>
          <w:szCs w:val="20"/>
          <w:lang w:val="en-US"/>
        </w:rPr>
        <w:t xml:space="preserve"> LTE LAA</w:t>
      </w:r>
      <w:r w:rsidR="00C04768">
        <w:rPr>
          <w:sz w:val="20"/>
          <w:szCs w:val="20"/>
          <w:lang w:val="en-US"/>
        </w:rPr>
        <w:t xml:space="preserve"> due to the</w:t>
      </w:r>
      <w:r w:rsidR="002D6415">
        <w:rPr>
          <w:sz w:val="20"/>
          <w:szCs w:val="20"/>
          <w:lang w:val="en-US"/>
        </w:rPr>
        <w:t xml:space="preserve"> global </w:t>
      </w:r>
      <w:r w:rsidR="003A717A">
        <w:rPr>
          <w:sz w:val="20"/>
          <w:szCs w:val="20"/>
          <w:lang w:val="en-US"/>
        </w:rPr>
        <w:t xml:space="preserve">common </w:t>
      </w:r>
      <w:r w:rsidR="002D6415">
        <w:rPr>
          <w:sz w:val="20"/>
          <w:szCs w:val="20"/>
          <w:lang w:val="en-US"/>
        </w:rPr>
        <w:t xml:space="preserve">availability of wide unlicensed spectrum. </w:t>
      </w:r>
      <w:r w:rsidR="003A717A">
        <w:rPr>
          <w:sz w:val="20"/>
          <w:szCs w:val="20"/>
          <w:lang w:val="en-US"/>
        </w:rPr>
        <w:t>Therefore, m</w:t>
      </w:r>
      <w:r w:rsidR="00384ED5">
        <w:rPr>
          <w:sz w:val="20"/>
          <w:szCs w:val="20"/>
          <w:lang w:val="en-US"/>
        </w:rPr>
        <w:t>any well-</w:t>
      </w:r>
      <w:r w:rsidR="003A717A">
        <w:rPr>
          <w:sz w:val="20"/>
          <w:szCs w:val="20"/>
          <w:lang w:val="en-US"/>
        </w:rPr>
        <w:t>designed</w:t>
      </w:r>
      <w:r w:rsidR="00384ED5">
        <w:rPr>
          <w:sz w:val="20"/>
          <w:szCs w:val="20"/>
          <w:lang w:val="en-US"/>
        </w:rPr>
        <w:t xml:space="preserve"> features such as the coexistence mechanisms can be </w:t>
      </w:r>
      <w:r w:rsidR="003A717A">
        <w:rPr>
          <w:sz w:val="20"/>
          <w:szCs w:val="20"/>
          <w:lang w:val="en-US"/>
        </w:rPr>
        <w:t>inherited from Release 13/14 LTE LAA</w:t>
      </w:r>
      <w:r w:rsidR="001E580B">
        <w:rPr>
          <w:sz w:val="20"/>
          <w:szCs w:val="20"/>
          <w:lang w:val="en-US"/>
        </w:rPr>
        <w:t xml:space="preserve"> design</w:t>
      </w:r>
      <w:r w:rsidR="003A717A">
        <w:rPr>
          <w:sz w:val="20"/>
          <w:szCs w:val="20"/>
          <w:lang w:val="en-US"/>
        </w:rPr>
        <w:t xml:space="preserve"> at large</w:t>
      </w:r>
      <w:r w:rsidR="00384ED5">
        <w:rPr>
          <w:sz w:val="20"/>
          <w:szCs w:val="20"/>
          <w:lang w:val="en-US"/>
        </w:rPr>
        <w:t>. Since however</w:t>
      </w:r>
      <w:r w:rsidR="003A717A">
        <w:rPr>
          <w:sz w:val="20"/>
          <w:szCs w:val="20"/>
          <w:lang w:val="en-US"/>
        </w:rPr>
        <w:t xml:space="preserve"> </w:t>
      </w:r>
      <w:r w:rsidR="00384ED5">
        <w:rPr>
          <w:sz w:val="20"/>
          <w:szCs w:val="20"/>
          <w:lang w:val="en-US"/>
        </w:rPr>
        <w:t xml:space="preserve">the </w:t>
      </w:r>
      <w:r w:rsidR="003A717A">
        <w:rPr>
          <w:sz w:val="20"/>
          <w:szCs w:val="20"/>
          <w:lang w:val="en-US"/>
        </w:rPr>
        <w:t>LTE</w:t>
      </w:r>
      <w:r w:rsidR="001E580B">
        <w:rPr>
          <w:sz w:val="20"/>
          <w:szCs w:val="20"/>
          <w:lang w:val="en-US"/>
        </w:rPr>
        <w:t xml:space="preserve"> system has been built without any consideration</w:t>
      </w:r>
      <w:r w:rsidR="003A717A">
        <w:rPr>
          <w:sz w:val="20"/>
          <w:szCs w:val="20"/>
          <w:lang w:val="en-US"/>
        </w:rPr>
        <w:t xml:space="preserve"> on its potential operation in unlicensed spectrum from the very beginning</w:t>
      </w:r>
      <w:r w:rsidR="001E580B">
        <w:rPr>
          <w:sz w:val="20"/>
          <w:szCs w:val="20"/>
          <w:lang w:val="en-US"/>
        </w:rPr>
        <w:t>, i.e.,</w:t>
      </w:r>
      <w:r w:rsidR="003A717A">
        <w:rPr>
          <w:sz w:val="20"/>
          <w:szCs w:val="20"/>
          <w:lang w:val="en-US"/>
        </w:rPr>
        <w:t xml:space="preserve"> Release 8, </w:t>
      </w:r>
      <w:r w:rsidR="00795332">
        <w:rPr>
          <w:sz w:val="20"/>
          <w:szCs w:val="20"/>
          <w:lang w:val="en-US"/>
        </w:rPr>
        <w:t xml:space="preserve">the LTE LAA design has to overcome some technical difficulties and inherently suffers from inefficiencies. </w:t>
      </w:r>
    </w:p>
    <w:p w14:paraId="2282D7F6" w14:textId="77777777" w:rsidR="00795332" w:rsidRDefault="00795332" w:rsidP="00FC7BBB">
      <w:pPr>
        <w:pStyle w:val="LGTdoc"/>
        <w:spacing w:before="20" w:afterLines="0" w:line="240" w:lineRule="auto"/>
        <w:rPr>
          <w:sz w:val="20"/>
          <w:szCs w:val="20"/>
          <w:lang w:val="en-US"/>
        </w:rPr>
      </w:pPr>
    </w:p>
    <w:p w14:paraId="616232BD" w14:textId="7384CD2C" w:rsidR="006D2177" w:rsidRDefault="00795332" w:rsidP="006D2177">
      <w:pPr>
        <w:pStyle w:val="LGTdoc"/>
        <w:spacing w:before="20" w:afterLines="0" w:line="240" w:lineRule="auto"/>
        <w:rPr>
          <w:sz w:val="20"/>
          <w:szCs w:val="20"/>
          <w:lang w:val="en-US"/>
        </w:rPr>
      </w:pPr>
      <w:r>
        <w:rPr>
          <w:sz w:val="20"/>
          <w:szCs w:val="20"/>
          <w:lang w:val="en-US"/>
        </w:rPr>
        <w:t xml:space="preserve">In the first part of this contribution, we recollect what the technical difficulties were during the Release 13/14 LTE LAA design and consequent inefficiencies. </w:t>
      </w:r>
      <w:r w:rsidR="00C64D90">
        <w:rPr>
          <w:sz w:val="20"/>
          <w:szCs w:val="20"/>
          <w:lang w:val="en-US"/>
        </w:rPr>
        <w:t>Based on this</w:t>
      </w:r>
      <w:r>
        <w:rPr>
          <w:sz w:val="20"/>
          <w:szCs w:val="20"/>
          <w:lang w:val="en-US"/>
        </w:rPr>
        <w:t xml:space="preserve">, we draw some suggestions on forward compatibility considerations for NR </w:t>
      </w:r>
      <w:r w:rsidR="00E93D98">
        <w:rPr>
          <w:sz w:val="20"/>
          <w:szCs w:val="20"/>
          <w:lang w:val="en-US"/>
        </w:rPr>
        <w:t xml:space="preserve">during </w:t>
      </w:r>
      <w:r w:rsidR="001E580B">
        <w:rPr>
          <w:sz w:val="20"/>
          <w:szCs w:val="20"/>
          <w:lang w:val="en-US"/>
        </w:rPr>
        <w:t xml:space="preserve">its </w:t>
      </w:r>
      <w:r w:rsidR="00E93D98">
        <w:rPr>
          <w:sz w:val="20"/>
          <w:szCs w:val="20"/>
          <w:lang w:val="en-US"/>
        </w:rPr>
        <w:t>Phase I</w:t>
      </w:r>
      <w:r w:rsidR="001E580B">
        <w:rPr>
          <w:sz w:val="20"/>
          <w:szCs w:val="20"/>
          <w:lang w:val="en-US"/>
        </w:rPr>
        <w:t xml:space="preserve"> design</w:t>
      </w:r>
      <w:r w:rsidR="00E93D98">
        <w:rPr>
          <w:sz w:val="20"/>
          <w:szCs w:val="20"/>
          <w:lang w:val="en-US"/>
        </w:rPr>
        <w:t xml:space="preserve"> to enable easy and smooth operation of NR in unlicensed spectrum </w:t>
      </w:r>
      <w:r w:rsidR="001E580B">
        <w:rPr>
          <w:sz w:val="20"/>
          <w:szCs w:val="20"/>
          <w:lang w:val="en-US"/>
        </w:rPr>
        <w:t>with minimal</w:t>
      </w:r>
      <w:r w:rsidR="00E93D98">
        <w:rPr>
          <w:sz w:val="20"/>
          <w:szCs w:val="20"/>
          <w:lang w:val="en-US"/>
        </w:rPr>
        <w:t xml:space="preserve"> design </w:t>
      </w:r>
      <w:r w:rsidR="00C64D90">
        <w:rPr>
          <w:sz w:val="20"/>
          <w:szCs w:val="20"/>
          <w:lang w:val="en-US"/>
        </w:rPr>
        <w:t>changes</w:t>
      </w:r>
      <w:r w:rsidR="00E93D98">
        <w:rPr>
          <w:sz w:val="20"/>
          <w:szCs w:val="20"/>
          <w:lang w:val="en-US"/>
        </w:rPr>
        <w:t>. In the second part of this contribution, we explore other unlicensed spectrum</w:t>
      </w:r>
      <w:r w:rsidR="009023FF">
        <w:rPr>
          <w:sz w:val="20"/>
          <w:szCs w:val="20"/>
          <w:lang w:val="en-US"/>
        </w:rPr>
        <w:t xml:space="preserve"> that can be also considered for NR to operate</w:t>
      </w:r>
      <w:r w:rsidR="003E27B3">
        <w:rPr>
          <w:sz w:val="20"/>
          <w:szCs w:val="20"/>
          <w:lang w:val="en-US"/>
        </w:rPr>
        <w:t>. The unlicensed bands covered in this contribution other than the 5 GHz band include</w:t>
      </w:r>
      <w:r w:rsidR="00E93D98">
        <w:rPr>
          <w:sz w:val="20"/>
          <w:szCs w:val="20"/>
          <w:lang w:val="en-US"/>
        </w:rPr>
        <w:t xml:space="preserve"> 60 GHz unlicensed spectrum</w:t>
      </w:r>
      <w:r w:rsidR="003E27B3">
        <w:rPr>
          <w:sz w:val="20"/>
          <w:szCs w:val="20"/>
          <w:lang w:val="en-US"/>
        </w:rPr>
        <w:t xml:space="preserve"> and</w:t>
      </w:r>
      <w:r w:rsidR="00E93D98">
        <w:rPr>
          <w:sz w:val="20"/>
          <w:szCs w:val="20"/>
          <w:lang w:val="en-US"/>
        </w:rPr>
        <w:t xml:space="preserve"> 3.5 GHz Citizens Broadband Radio Service (CBRS) band</w:t>
      </w:r>
      <w:r w:rsidR="003E27B3">
        <w:rPr>
          <w:sz w:val="20"/>
          <w:szCs w:val="20"/>
          <w:lang w:val="en-US"/>
        </w:rPr>
        <w:t xml:space="preserve"> in U.S. A</w:t>
      </w:r>
      <w:r w:rsidR="00C64D90">
        <w:rPr>
          <w:sz w:val="20"/>
          <w:szCs w:val="20"/>
          <w:lang w:val="en-US"/>
        </w:rPr>
        <w:t>ccordingly</w:t>
      </w:r>
      <w:r w:rsidR="00940625">
        <w:rPr>
          <w:sz w:val="20"/>
          <w:szCs w:val="20"/>
          <w:lang w:val="en-US"/>
        </w:rPr>
        <w:t xml:space="preserve">, we draw suggestions on forward compatibility considerations for the considered bands. </w:t>
      </w:r>
    </w:p>
    <w:p w14:paraId="0D34D45E" w14:textId="23B0F360" w:rsidR="00EB10CB" w:rsidRPr="00C3180D" w:rsidRDefault="00496473" w:rsidP="00C3180D">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Release 13/14 LTE LAA design</w:t>
      </w:r>
    </w:p>
    <w:p w14:paraId="3EC3CB01" w14:textId="7415CBD8" w:rsidR="00305BCE" w:rsidRPr="002A1161" w:rsidRDefault="008C4BA8" w:rsidP="00C3180D">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Challenges in</w:t>
      </w:r>
      <w:r w:rsidR="004751D7">
        <w:rPr>
          <w:rFonts w:ascii="Arial" w:eastAsia="SimSun" w:hAnsi="Arial" w:cs="Arial"/>
          <w:sz w:val="24"/>
          <w:lang w:val="en-US" w:eastAsia="zh-CN"/>
        </w:rPr>
        <w:t xml:space="preserve"> Release 13/14 LTE LAA design</w:t>
      </w:r>
      <w:r w:rsidR="003E4642">
        <w:rPr>
          <w:rFonts w:ascii="Arial" w:eastAsia="SimSun" w:hAnsi="Arial" w:cs="Arial"/>
          <w:sz w:val="24"/>
          <w:lang w:val="en-US" w:eastAsia="zh-CN"/>
        </w:rPr>
        <w:t xml:space="preserve"> </w:t>
      </w:r>
    </w:p>
    <w:p w14:paraId="73E506A5" w14:textId="57E0B155" w:rsidR="00D2467D" w:rsidRDefault="004751D7"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Main challenges in Release 13 LAA design for downlink access</w:t>
      </w:r>
      <w:r w:rsidR="005D33C5">
        <w:rPr>
          <w:b w:val="0"/>
          <w:snapToGrid/>
          <w:color w:val="000000" w:themeColor="text1"/>
          <w:kern w:val="2"/>
          <w:sz w:val="20"/>
          <w:lang w:val="en-US"/>
        </w:rPr>
        <w:t xml:space="preserve"> can be listed as follows.</w:t>
      </w:r>
    </w:p>
    <w:p w14:paraId="3F6A9AE7" w14:textId="28EFF115" w:rsidR="00D2467D" w:rsidRPr="00D2467D" w:rsidRDefault="00D2467D" w:rsidP="005068B6">
      <w:pPr>
        <w:pStyle w:val="LGTdoc1"/>
        <w:spacing w:beforeLines="0" w:before="240" w:after="120" w:afterAutospacing="0"/>
        <w:rPr>
          <w:b w:val="0"/>
          <w:i/>
          <w:snapToGrid/>
          <w:color w:val="000000" w:themeColor="text1"/>
          <w:kern w:val="2"/>
          <w:sz w:val="20"/>
          <w:u w:val="single"/>
          <w:lang w:val="en-US"/>
        </w:rPr>
      </w:pPr>
      <w:r w:rsidRPr="00D2467D">
        <w:rPr>
          <w:b w:val="0"/>
          <w:i/>
          <w:snapToGrid/>
          <w:color w:val="000000" w:themeColor="text1"/>
          <w:kern w:val="2"/>
          <w:sz w:val="20"/>
          <w:u w:val="single"/>
          <w:lang w:val="en-US"/>
        </w:rPr>
        <w:t>Initial partial subframe</w:t>
      </w:r>
      <w:r w:rsidRPr="00D2467D">
        <w:rPr>
          <w:b w:val="0"/>
          <w:snapToGrid/>
          <w:color w:val="000000" w:themeColor="text1"/>
          <w:kern w:val="2"/>
          <w:sz w:val="20"/>
          <w:lang w:val="en-US"/>
        </w:rPr>
        <w:t>:</w:t>
      </w:r>
    </w:p>
    <w:p w14:paraId="77C55500" w14:textId="5E8A8964" w:rsidR="00D2467D" w:rsidRDefault="00D2467D"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LBT can finish at any time but LTE has fixed subframe boundaries on which transmissions can start. This gave rise to the need for the transmission of a reservation signal to avoid a situation where the channel access opportunity is taken away by other neighboring nodes sharing the same spectrum. </w:t>
      </w:r>
      <w:r w:rsidR="00152FB5">
        <w:rPr>
          <w:b w:val="0"/>
          <w:snapToGrid/>
          <w:color w:val="000000" w:themeColor="text1"/>
          <w:kern w:val="2"/>
          <w:sz w:val="20"/>
          <w:lang w:val="en-US"/>
        </w:rPr>
        <w:t>However, t</w:t>
      </w:r>
      <w:r>
        <w:rPr>
          <w:b w:val="0"/>
          <w:snapToGrid/>
          <w:color w:val="000000" w:themeColor="text1"/>
          <w:kern w:val="2"/>
          <w:sz w:val="20"/>
          <w:lang w:val="en-US"/>
        </w:rPr>
        <w:t>he transmission of reservation signals inevitably lowers the medium utilization efficiency. That’s why the initial partial subframe feature was introduced for LAA so that a transmission can start at slot boundaries instead of subframe boundaries</w:t>
      </w:r>
      <w:r w:rsidR="00AD2447">
        <w:rPr>
          <w:b w:val="0"/>
          <w:snapToGrid/>
          <w:color w:val="000000" w:themeColor="text1"/>
          <w:kern w:val="2"/>
          <w:sz w:val="20"/>
          <w:lang w:val="en-US"/>
        </w:rPr>
        <w:t xml:space="preserve"> as in the figure below</w:t>
      </w:r>
      <w:r>
        <w:rPr>
          <w:b w:val="0"/>
          <w:snapToGrid/>
          <w:color w:val="000000" w:themeColor="text1"/>
          <w:kern w:val="2"/>
          <w:sz w:val="20"/>
          <w:lang w:val="en-US"/>
        </w:rPr>
        <w:t xml:space="preserve">. </w:t>
      </w:r>
    </w:p>
    <w:p w14:paraId="051ED1F8" w14:textId="77777777" w:rsidR="00AD2447" w:rsidRDefault="00AD2447" w:rsidP="002A1161">
      <w:pPr>
        <w:pStyle w:val="LGTdoc1"/>
        <w:spacing w:beforeLines="0" w:before="120" w:after="120" w:afterAutospacing="0"/>
        <w:rPr>
          <w:b w:val="0"/>
          <w:snapToGrid/>
          <w:color w:val="000000" w:themeColor="text1"/>
          <w:kern w:val="2"/>
          <w:sz w:val="20"/>
          <w:lang w:val="en-US"/>
        </w:rPr>
      </w:pPr>
    </w:p>
    <w:p w14:paraId="6F22CC5D" w14:textId="25070432" w:rsidR="00FB42B2" w:rsidRDefault="00FB42B2" w:rsidP="00FB42B2">
      <w:pPr>
        <w:pStyle w:val="LGTdoc1"/>
        <w:spacing w:beforeLines="0" w:before="120" w:after="120" w:afterAutospacing="0"/>
        <w:jc w:val="center"/>
        <w:rPr>
          <w:b w:val="0"/>
          <w:snapToGrid/>
          <w:color w:val="000000" w:themeColor="text1"/>
          <w:kern w:val="2"/>
          <w:sz w:val="20"/>
          <w:lang w:val="en-US"/>
        </w:rPr>
      </w:pPr>
      <w:r w:rsidRPr="00FB42B2">
        <w:rPr>
          <w:b w:val="0"/>
          <w:noProof/>
          <w:snapToGrid/>
          <w:color w:val="000000" w:themeColor="text1"/>
          <w:kern w:val="2"/>
          <w:sz w:val="20"/>
          <w:lang w:val="en-US" w:eastAsia="en-US"/>
        </w:rPr>
        <w:drawing>
          <wp:inline distT="0" distB="0" distL="0" distR="0" wp14:anchorId="4C861F00" wp14:editId="50601233">
            <wp:extent cx="3851407" cy="1118537"/>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3851407" cy="1118537"/>
                    </a:xfrm>
                    <a:prstGeom prst="rect">
                      <a:avLst/>
                    </a:prstGeom>
                  </pic:spPr>
                </pic:pic>
              </a:graphicData>
            </a:graphic>
          </wp:inline>
        </w:drawing>
      </w:r>
    </w:p>
    <w:p w14:paraId="2092F41A" w14:textId="40AB4264" w:rsidR="00AD2447" w:rsidRPr="00AD2447" w:rsidRDefault="00AD2447" w:rsidP="00E81DFA">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Figure 1. LAA DL operation overview.</w:t>
      </w:r>
    </w:p>
    <w:p w14:paraId="387D9306" w14:textId="230A69FF" w:rsidR="002509C1" w:rsidRDefault="00AD2447"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lastRenderedPageBreak/>
        <w:t xml:space="preserve">Although the magnitude of the efficiency loss can be alleviated to some degree, the issue still presents with the slot-level partial initial subframe. Furthermore, </w:t>
      </w:r>
      <w:r w:rsidR="00960E61">
        <w:rPr>
          <w:b w:val="0"/>
          <w:snapToGrid/>
          <w:color w:val="000000" w:themeColor="text1"/>
          <w:kern w:val="2"/>
          <w:sz w:val="20"/>
          <w:lang w:val="en-US"/>
        </w:rPr>
        <w:t xml:space="preserve">with the initial partial subframe, </w:t>
      </w:r>
      <w:r>
        <w:rPr>
          <w:b w:val="0"/>
          <w:snapToGrid/>
          <w:color w:val="000000" w:themeColor="text1"/>
          <w:kern w:val="2"/>
          <w:sz w:val="20"/>
          <w:lang w:val="en-US"/>
        </w:rPr>
        <w:t>UE complexity for (E)PDCCH processing</w:t>
      </w:r>
      <w:r w:rsidR="00960E61">
        <w:rPr>
          <w:b w:val="0"/>
          <w:snapToGrid/>
          <w:color w:val="000000" w:themeColor="text1"/>
          <w:kern w:val="2"/>
          <w:sz w:val="20"/>
          <w:lang w:val="en-US"/>
        </w:rPr>
        <w:t xml:space="preserve"> will increase</w:t>
      </w:r>
      <w:r>
        <w:rPr>
          <w:b w:val="0"/>
          <w:snapToGrid/>
          <w:color w:val="000000" w:themeColor="text1"/>
          <w:kern w:val="2"/>
          <w:sz w:val="20"/>
          <w:lang w:val="en-US"/>
        </w:rPr>
        <w:t>.</w:t>
      </w:r>
      <w:r w:rsidR="00960E61">
        <w:rPr>
          <w:b w:val="0"/>
          <w:snapToGrid/>
          <w:color w:val="000000" w:themeColor="text1"/>
          <w:kern w:val="2"/>
          <w:sz w:val="20"/>
          <w:lang w:val="en-US"/>
        </w:rPr>
        <w:t xml:space="preserve"> This is why the initial partial subframe is left for optional feature.</w:t>
      </w:r>
    </w:p>
    <w:p w14:paraId="33701197" w14:textId="1C41F20F" w:rsidR="00D2467D" w:rsidRDefault="00D2467D" w:rsidP="005068B6">
      <w:pPr>
        <w:pStyle w:val="LGTdoc1"/>
        <w:spacing w:beforeLines="0" w:before="240" w:after="120" w:afterAutospacing="0"/>
        <w:rPr>
          <w:b w:val="0"/>
          <w:snapToGrid/>
          <w:color w:val="000000" w:themeColor="text1"/>
          <w:kern w:val="2"/>
          <w:sz w:val="20"/>
          <w:lang w:val="en-US"/>
        </w:rPr>
      </w:pPr>
      <w:r w:rsidRPr="00D2467D">
        <w:rPr>
          <w:b w:val="0"/>
          <w:i/>
          <w:snapToGrid/>
          <w:color w:val="000000" w:themeColor="text1"/>
          <w:kern w:val="2"/>
          <w:sz w:val="20"/>
          <w:u w:val="single"/>
          <w:lang w:val="en-US"/>
        </w:rPr>
        <w:t>Ending partial subframe</w:t>
      </w:r>
      <w:r>
        <w:rPr>
          <w:b w:val="0"/>
          <w:snapToGrid/>
          <w:color w:val="000000" w:themeColor="text1"/>
          <w:kern w:val="2"/>
          <w:sz w:val="20"/>
          <w:lang w:val="en-US"/>
        </w:rPr>
        <w:t>:</w:t>
      </w:r>
    </w:p>
    <w:p w14:paraId="094B40BB" w14:textId="2C8B2FB8" w:rsidR="00D2467D" w:rsidRDefault="00A4034F" w:rsidP="002A1161">
      <w:pPr>
        <w:pStyle w:val="LGTdoc1"/>
        <w:spacing w:beforeLines="0" w:before="120" w:after="120" w:afterAutospacing="0"/>
        <w:rPr>
          <w:b w:val="0"/>
          <w:snapToGrid/>
          <w:color w:val="000000" w:themeColor="text1"/>
          <w:kern w:val="2"/>
          <w:sz w:val="20"/>
          <w:lang w:val="en-US"/>
        </w:rPr>
      </w:pPr>
      <w:r w:rsidRPr="00A4034F">
        <w:rPr>
          <w:b w:val="0"/>
          <w:snapToGrid/>
          <w:color w:val="000000" w:themeColor="text1"/>
          <w:kern w:val="2"/>
          <w:sz w:val="20"/>
          <w:lang w:val="en-US"/>
        </w:rPr>
        <w:t xml:space="preserve">Depending on </w:t>
      </w:r>
      <w:r w:rsidR="00AB5720">
        <w:rPr>
          <w:b w:val="0"/>
          <w:snapToGrid/>
          <w:color w:val="000000" w:themeColor="text1"/>
          <w:kern w:val="2"/>
          <w:sz w:val="20"/>
          <w:lang w:val="en-US"/>
        </w:rPr>
        <w:t xml:space="preserve">the </w:t>
      </w:r>
      <w:r w:rsidRPr="00A4034F">
        <w:rPr>
          <w:b w:val="0"/>
          <w:snapToGrid/>
          <w:color w:val="000000" w:themeColor="text1"/>
          <w:kern w:val="2"/>
          <w:sz w:val="20"/>
          <w:lang w:val="en-US"/>
        </w:rPr>
        <w:t xml:space="preserve">starting position of </w:t>
      </w:r>
      <w:r w:rsidR="00AB5720">
        <w:rPr>
          <w:b w:val="0"/>
          <w:snapToGrid/>
          <w:color w:val="000000" w:themeColor="text1"/>
          <w:kern w:val="2"/>
          <w:sz w:val="20"/>
          <w:lang w:val="en-US"/>
        </w:rPr>
        <w:t xml:space="preserve">actual </w:t>
      </w:r>
      <w:r w:rsidRPr="00A4034F">
        <w:rPr>
          <w:b w:val="0"/>
          <w:snapToGrid/>
          <w:color w:val="000000" w:themeColor="text1"/>
          <w:kern w:val="2"/>
          <w:sz w:val="20"/>
          <w:lang w:val="en-US"/>
        </w:rPr>
        <w:t>DL transmission</w:t>
      </w:r>
      <w:r w:rsidR="00721FF3">
        <w:rPr>
          <w:b w:val="0"/>
          <w:snapToGrid/>
          <w:color w:val="000000" w:themeColor="text1"/>
          <w:kern w:val="2"/>
          <w:sz w:val="20"/>
          <w:lang w:val="en-US"/>
        </w:rPr>
        <w:t>, potentially including the transmission of some initial signals</w:t>
      </w:r>
      <w:r w:rsidR="00AB5720">
        <w:rPr>
          <w:b w:val="0"/>
          <w:snapToGrid/>
          <w:color w:val="000000" w:themeColor="text1"/>
          <w:kern w:val="2"/>
          <w:sz w:val="20"/>
          <w:lang w:val="en-US"/>
        </w:rPr>
        <w:t>, the downlink transmission burst may not end</w:t>
      </w:r>
      <w:r w:rsidR="00721FF3">
        <w:rPr>
          <w:b w:val="0"/>
          <w:snapToGrid/>
          <w:color w:val="000000" w:themeColor="text1"/>
          <w:kern w:val="2"/>
          <w:sz w:val="20"/>
          <w:lang w:val="en-US"/>
        </w:rPr>
        <w:t xml:space="preserve"> exactly</w:t>
      </w:r>
      <w:r w:rsidR="00AB5720">
        <w:rPr>
          <w:b w:val="0"/>
          <w:snapToGrid/>
          <w:color w:val="000000" w:themeColor="text1"/>
          <w:kern w:val="2"/>
          <w:sz w:val="20"/>
          <w:lang w:val="en-US"/>
        </w:rPr>
        <w:t xml:space="preserve"> at the subframe boundary </w:t>
      </w:r>
      <w:r w:rsidR="00721FF3">
        <w:rPr>
          <w:b w:val="0"/>
          <w:snapToGrid/>
          <w:color w:val="000000" w:themeColor="text1"/>
          <w:kern w:val="2"/>
          <w:sz w:val="20"/>
          <w:lang w:val="en-US"/>
        </w:rPr>
        <w:t xml:space="preserve">due to the constraint </w:t>
      </w:r>
      <w:r w:rsidR="00AB5720">
        <w:rPr>
          <w:b w:val="0"/>
          <w:snapToGrid/>
          <w:color w:val="000000" w:themeColor="text1"/>
          <w:kern w:val="2"/>
          <w:sz w:val="20"/>
          <w:lang w:val="en-US"/>
        </w:rPr>
        <w:t>by the maximum channel occupancy time (MCOT).</w:t>
      </w:r>
      <w:r w:rsidR="000937DA">
        <w:rPr>
          <w:b w:val="0"/>
          <w:snapToGrid/>
          <w:color w:val="000000" w:themeColor="text1"/>
          <w:kern w:val="2"/>
          <w:sz w:val="20"/>
          <w:lang w:val="en-US"/>
        </w:rPr>
        <w:t xml:space="preserve"> To </w:t>
      </w:r>
      <w:r w:rsidR="00721FF3">
        <w:rPr>
          <w:b w:val="0"/>
          <w:snapToGrid/>
          <w:color w:val="000000" w:themeColor="text1"/>
          <w:kern w:val="2"/>
          <w:sz w:val="20"/>
          <w:lang w:val="en-US"/>
        </w:rPr>
        <w:t xml:space="preserve">fully </w:t>
      </w:r>
      <w:r w:rsidR="000937DA">
        <w:rPr>
          <w:b w:val="0"/>
          <w:snapToGrid/>
          <w:color w:val="000000" w:themeColor="text1"/>
          <w:kern w:val="2"/>
          <w:sz w:val="20"/>
          <w:lang w:val="en-US"/>
        </w:rPr>
        <w:t xml:space="preserve">utilize the </w:t>
      </w:r>
      <w:r w:rsidR="00721FF3">
        <w:rPr>
          <w:b w:val="0"/>
          <w:snapToGrid/>
          <w:color w:val="000000" w:themeColor="text1"/>
          <w:kern w:val="2"/>
          <w:sz w:val="20"/>
          <w:lang w:val="en-US"/>
        </w:rPr>
        <w:t>MCOT</w:t>
      </w:r>
      <w:r w:rsidR="000937DA">
        <w:rPr>
          <w:b w:val="0"/>
          <w:snapToGrid/>
          <w:color w:val="000000" w:themeColor="text1"/>
          <w:kern w:val="2"/>
          <w:sz w:val="20"/>
          <w:lang w:val="en-US"/>
        </w:rPr>
        <w:t>, which may finish before the next subframe boundary, the Release 13 LAA design allowed that</w:t>
      </w:r>
      <w:r w:rsidR="000937DA" w:rsidRPr="000937DA">
        <w:rPr>
          <w:b w:val="0"/>
          <w:snapToGrid/>
          <w:color w:val="000000" w:themeColor="text1"/>
          <w:kern w:val="2"/>
          <w:sz w:val="20"/>
          <w:lang w:val="en-US"/>
        </w:rPr>
        <w:t xml:space="preserve"> the duration of the last subframe of a DL transmission burst can be one of {3, 6, 9, 10, 11, 12} OFDM symbols </w:t>
      </w:r>
      <w:r w:rsidR="005068B6">
        <w:rPr>
          <w:b w:val="0"/>
          <w:snapToGrid/>
          <w:color w:val="000000" w:themeColor="text1"/>
          <w:kern w:val="2"/>
          <w:sz w:val="20"/>
          <w:lang w:val="en-US"/>
        </w:rPr>
        <w:t xml:space="preserve">in addition to the regular full subframe transmission. However, the allowance of ending partial subframe came at the </w:t>
      </w:r>
      <w:r w:rsidR="008F5515">
        <w:rPr>
          <w:b w:val="0"/>
          <w:snapToGrid/>
          <w:color w:val="000000" w:themeColor="text1"/>
          <w:kern w:val="2"/>
          <w:sz w:val="20"/>
          <w:lang w:val="en-US"/>
        </w:rPr>
        <w:t>burden</w:t>
      </w:r>
      <w:r w:rsidR="005068B6">
        <w:rPr>
          <w:b w:val="0"/>
          <w:snapToGrid/>
          <w:color w:val="000000" w:themeColor="text1"/>
          <w:kern w:val="2"/>
          <w:sz w:val="20"/>
          <w:lang w:val="en-US"/>
        </w:rPr>
        <w:t xml:space="preserve"> of common control signaling on the length of the subframe in the current and the previous subframes. It is also worth to note the separate PDCCH overhead for scheduling the ending partial subframe</w:t>
      </w:r>
      <w:r w:rsidR="00EF7DF6">
        <w:rPr>
          <w:b w:val="0"/>
          <w:snapToGrid/>
          <w:color w:val="000000" w:themeColor="text1"/>
          <w:kern w:val="2"/>
          <w:sz w:val="20"/>
          <w:lang w:val="en-US"/>
        </w:rPr>
        <w:t xml:space="preserve"> as well</w:t>
      </w:r>
      <w:r w:rsidR="005068B6">
        <w:rPr>
          <w:b w:val="0"/>
          <w:snapToGrid/>
          <w:color w:val="000000" w:themeColor="text1"/>
          <w:kern w:val="2"/>
          <w:sz w:val="20"/>
          <w:lang w:val="en-US"/>
        </w:rPr>
        <w:t xml:space="preserve">. </w:t>
      </w:r>
    </w:p>
    <w:p w14:paraId="5BF86521" w14:textId="2E20932A" w:rsidR="00D2467D" w:rsidRDefault="00D2467D" w:rsidP="005068B6">
      <w:pPr>
        <w:pStyle w:val="LGTdoc1"/>
        <w:spacing w:beforeLines="0" w:before="240" w:after="120" w:afterAutospacing="0"/>
        <w:rPr>
          <w:b w:val="0"/>
          <w:snapToGrid/>
          <w:color w:val="000000" w:themeColor="text1"/>
          <w:kern w:val="2"/>
          <w:sz w:val="20"/>
          <w:lang w:val="en-US"/>
        </w:rPr>
      </w:pPr>
      <w:r w:rsidRPr="00D2467D">
        <w:rPr>
          <w:b w:val="0"/>
          <w:i/>
          <w:snapToGrid/>
          <w:color w:val="000000" w:themeColor="text1"/>
          <w:kern w:val="2"/>
          <w:sz w:val="20"/>
          <w:u w:val="single"/>
          <w:lang w:val="en-US"/>
        </w:rPr>
        <w:t>Small packet transmission</w:t>
      </w:r>
      <w:r>
        <w:rPr>
          <w:b w:val="0"/>
          <w:snapToGrid/>
          <w:color w:val="000000" w:themeColor="text1"/>
          <w:kern w:val="2"/>
          <w:sz w:val="20"/>
          <w:lang w:val="en-US"/>
        </w:rPr>
        <w:t>:</w:t>
      </w:r>
    </w:p>
    <w:p w14:paraId="06391D94" w14:textId="590BE0C8" w:rsidR="00174C27" w:rsidRDefault="006302F6" w:rsidP="00174C27">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LTE </w:t>
      </w:r>
      <w:r w:rsidR="00004F3E">
        <w:rPr>
          <w:b w:val="0"/>
          <w:snapToGrid/>
          <w:color w:val="000000" w:themeColor="text1"/>
          <w:kern w:val="2"/>
          <w:sz w:val="20"/>
          <w:lang w:val="en-US"/>
        </w:rPr>
        <w:t>transmission is fundamentally</w:t>
      </w:r>
      <w:r>
        <w:rPr>
          <w:b w:val="0"/>
          <w:snapToGrid/>
          <w:color w:val="000000" w:themeColor="text1"/>
          <w:kern w:val="2"/>
          <w:sz w:val="20"/>
          <w:lang w:val="en-US"/>
        </w:rPr>
        <w:t xml:space="preserve"> s</w:t>
      </w:r>
      <w:r w:rsidR="00004F3E">
        <w:rPr>
          <w:b w:val="0"/>
          <w:snapToGrid/>
          <w:color w:val="000000" w:themeColor="text1"/>
          <w:kern w:val="2"/>
          <w:sz w:val="20"/>
          <w:lang w:val="en-US"/>
        </w:rPr>
        <w:t>ubframe by subframe</w:t>
      </w:r>
      <w:r>
        <w:rPr>
          <w:b w:val="0"/>
          <w:snapToGrid/>
          <w:color w:val="000000" w:themeColor="text1"/>
          <w:kern w:val="2"/>
          <w:sz w:val="20"/>
          <w:lang w:val="en-US"/>
        </w:rPr>
        <w:t>, although</w:t>
      </w:r>
      <w:r w:rsidR="000D2B99">
        <w:rPr>
          <w:b w:val="0"/>
          <w:snapToGrid/>
          <w:color w:val="000000" w:themeColor="text1"/>
          <w:kern w:val="2"/>
          <w:sz w:val="20"/>
          <w:lang w:val="en-US"/>
        </w:rPr>
        <w:t xml:space="preserve"> initial partial subframe is allowed but it is limited to slot level. Note also that the ending partial subframe cannot be the sole transmission, i.e.,</w:t>
      </w:r>
      <w:r w:rsidR="00174C27">
        <w:rPr>
          <w:b w:val="0"/>
          <w:snapToGrid/>
          <w:color w:val="000000" w:themeColor="text1"/>
          <w:kern w:val="2"/>
          <w:sz w:val="20"/>
          <w:lang w:val="en-US"/>
        </w:rPr>
        <w:t xml:space="preserve"> </w:t>
      </w:r>
      <w:r w:rsidR="00004F3E">
        <w:rPr>
          <w:b w:val="0"/>
          <w:snapToGrid/>
          <w:color w:val="000000" w:themeColor="text1"/>
          <w:kern w:val="2"/>
          <w:sz w:val="20"/>
          <w:lang w:val="en-US"/>
        </w:rPr>
        <w:t xml:space="preserve">a partial subframe cannot be </w:t>
      </w:r>
      <w:r w:rsidR="00174C27">
        <w:rPr>
          <w:b w:val="0"/>
          <w:snapToGrid/>
          <w:color w:val="000000" w:themeColor="text1"/>
          <w:kern w:val="2"/>
          <w:sz w:val="20"/>
          <w:lang w:val="en-US"/>
        </w:rPr>
        <w:t>just one and the only transmission. This can be very i</w:t>
      </w:r>
      <w:r w:rsidR="000D2B99">
        <w:rPr>
          <w:b w:val="0"/>
          <w:snapToGrid/>
          <w:color w:val="000000" w:themeColor="text1"/>
          <w:kern w:val="2"/>
          <w:sz w:val="20"/>
          <w:lang w:val="en-US"/>
        </w:rPr>
        <w:t>nefficient for small packet transmission</w:t>
      </w:r>
      <w:r w:rsidR="00174C27">
        <w:rPr>
          <w:b w:val="0"/>
          <w:snapToGrid/>
          <w:color w:val="000000" w:themeColor="text1"/>
          <w:kern w:val="2"/>
          <w:sz w:val="20"/>
          <w:lang w:val="en-US"/>
        </w:rPr>
        <w:t xml:space="preserve"> such as VoIP packets. In the contrary, the Wi-Fi transmission spans only over the duration of time needed to send the available data.</w:t>
      </w:r>
    </w:p>
    <w:p w14:paraId="6FB266F5" w14:textId="1763B6F1" w:rsidR="006A2984" w:rsidRDefault="006A2984"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Main challenges in Release 1</w:t>
      </w:r>
      <w:r w:rsidR="005D33C5">
        <w:rPr>
          <w:b w:val="0"/>
          <w:snapToGrid/>
          <w:color w:val="000000" w:themeColor="text1"/>
          <w:kern w:val="2"/>
          <w:sz w:val="20"/>
          <w:lang w:val="en-US"/>
        </w:rPr>
        <w:t>4 eLAA design for uplink access is further enumerated as follows.</w:t>
      </w:r>
    </w:p>
    <w:p w14:paraId="02D3EE25" w14:textId="434B418A" w:rsidR="005D33C5" w:rsidRDefault="005D33C5" w:rsidP="005D33C5">
      <w:pPr>
        <w:pStyle w:val="LGTdoc1"/>
        <w:spacing w:beforeLines="0" w:before="240" w:after="120" w:afterAutospacing="0"/>
        <w:rPr>
          <w:b w:val="0"/>
          <w:snapToGrid/>
          <w:color w:val="000000" w:themeColor="text1"/>
          <w:kern w:val="2"/>
          <w:sz w:val="20"/>
          <w:lang w:val="en-US"/>
        </w:rPr>
      </w:pPr>
      <w:r w:rsidRPr="005D33C5">
        <w:rPr>
          <w:b w:val="0"/>
          <w:i/>
          <w:snapToGrid/>
          <w:color w:val="000000" w:themeColor="text1"/>
          <w:kern w:val="2"/>
          <w:sz w:val="20"/>
          <w:u w:val="single"/>
          <w:lang w:val="en-US"/>
        </w:rPr>
        <w:t>Non-unified UL waveform</w:t>
      </w:r>
      <w:r>
        <w:rPr>
          <w:b w:val="0"/>
          <w:snapToGrid/>
          <w:color w:val="000000" w:themeColor="text1"/>
          <w:kern w:val="2"/>
          <w:sz w:val="20"/>
          <w:lang w:val="en-US"/>
        </w:rPr>
        <w:t>:</w:t>
      </w:r>
    </w:p>
    <w:p w14:paraId="16E40165" w14:textId="520B63F1" w:rsidR="00FB42B2" w:rsidRDefault="005D33C5"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 xml:space="preserve">Interlaced RB </w:t>
      </w:r>
      <w:r w:rsidR="00023339">
        <w:rPr>
          <w:b w:val="0"/>
          <w:snapToGrid/>
          <w:color w:val="000000" w:themeColor="text1"/>
          <w:kern w:val="2"/>
          <w:sz w:val="20"/>
          <w:lang w:val="en-US"/>
        </w:rPr>
        <w:t>structure</w:t>
      </w:r>
      <w:r>
        <w:rPr>
          <w:b w:val="0"/>
          <w:snapToGrid/>
          <w:color w:val="000000" w:themeColor="text1"/>
          <w:kern w:val="2"/>
          <w:sz w:val="20"/>
          <w:lang w:val="en-US"/>
        </w:rPr>
        <w:t xml:space="preserve"> is adopted for LAA uplink PUSCH resource allocation to meet the occupied channel bandwidth (OCB) regulation by ETSI</w:t>
      </w:r>
      <w:r w:rsidR="00A3547F">
        <w:rPr>
          <w:b w:val="0"/>
          <w:snapToGrid/>
          <w:color w:val="000000" w:themeColor="text1"/>
          <w:kern w:val="2"/>
          <w:sz w:val="20"/>
          <w:lang w:val="en-US"/>
        </w:rPr>
        <w:t xml:space="preserve"> (EN 301 893)</w:t>
      </w:r>
      <w:r>
        <w:rPr>
          <w:b w:val="0"/>
          <w:snapToGrid/>
          <w:color w:val="000000" w:themeColor="text1"/>
          <w:kern w:val="2"/>
          <w:sz w:val="20"/>
          <w:lang w:val="en-US"/>
        </w:rPr>
        <w:t>. This OCB regulation asks for additional efforts to redesign most of the uplink physical channels. This is why the design of PUCCH and PRACH was not successfully finished within the scope of Release 14 eLAA WI</w:t>
      </w:r>
      <w:r w:rsidR="00997626">
        <w:rPr>
          <w:b w:val="0"/>
          <w:snapToGrid/>
          <w:color w:val="000000" w:themeColor="text1"/>
          <w:kern w:val="2"/>
          <w:sz w:val="20"/>
          <w:lang w:val="en-US"/>
        </w:rPr>
        <w:t xml:space="preserve"> and left undefined on LAA SCells</w:t>
      </w:r>
      <w:r>
        <w:rPr>
          <w:b w:val="0"/>
          <w:snapToGrid/>
          <w:color w:val="000000" w:themeColor="text1"/>
          <w:kern w:val="2"/>
          <w:sz w:val="20"/>
          <w:lang w:val="en-US"/>
        </w:rPr>
        <w:t xml:space="preserve">.     </w:t>
      </w:r>
    </w:p>
    <w:p w14:paraId="74DDC266" w14:textId="77777777" w:rsidR="00FB42B2" w:rsidRDefault="00FB42B2" w:rsidP="005D33C5">
      <w:pPr>
        <w:pStyle w:val="LGTdoc1"/>
        <w:spacing w:beforeLines="0" w:before="240" w:after="120" w:afterAutospacing="0"/>
        <w:rPr>
          <w:b w:val="0"/>
          <w:snapToGrid/>
          <w:color w:val="000000" w:themeColor="text1"/>
          <w:kern w:val="2"/>
          <w:sz w:val="20"/>
          <w:lang w:val="en-US"/>
        </w:rPr>
      </w:pPr>
    </w:p>
    <w:p w14:paraId="7A77C521" w14:textId="051C54ED" w:rsidR="00FB42B2" w:rsidRDefault="00FB42B2" w:rsidP="00E81DFA">
      <w:pPr>
        <w:pStyle w:val="LGTdoc1"/>
        <w:spacing w:beforeLines="0" w:before="240" w:after="120" w:afterAutospacing="0"/>
        <w:jc w:val="center"/>
        <w:rPr>
          <w:b w:val="0"/>
          <w:snapToGrid/>
          <w:color w:val="000000" w:themeColor="text1"/>
          <w:kern w:val="2"/>
          <w:sz w:val="20"/>
          <w:lang w:val="en-US"/>
        </w:rPr>
      </w:pPr>
      <w:r w:rsidRPr="00FB42B2">
        <w:rPr>
          <w:b w:val="0"/>
          <w:noProof/>
          <w:snapToGrid/>
          <w:color w:val="000000" w:themeColor="text1"/>
          <w:kern w:val="2"/>
          <w:sz w:val="20"/>
          <w:lang w:val="en-US" w:eastAsia="en-US"/>
        </w:rPr>
        <w:drawing>
          <wp:inline distT="0" distB="0" distL="0" distR="0" wp14:anchorId="2AF2B5CE" wp14:editId="2B3226F7">
            <wp:extent cx="3909646" cy="2438471"/>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stretch>
                      <a:fillRect/>
                    </a:stretch>
                  </pic:blipFill>
                  <pic:spPr>
                    <a:xfrm>
                      <a:off x="0" y="0"/>
                      <a:ext cx="3914401" cy="2441437"/>
                    </a:xfrm>
                    <a:prstGeom prst="rect">
                      <a:avLst/>
                    </a:prstGeom>
                  </pic:spPr>
                </pic:pic>
              </a:graphicData>
            </a:graphic>
          </wp:inline>
        </w:drawing>
      </w:r>
    </w:p>
    <w:p w14:paraId="4D7870CF" w14:textId="64336720" w:rsidR="00FB42B2" w:rsidRPr="00E81DFA" w:rsidRDefault="00E81DFA" w:rsidP="00E81DFA">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2</w:t>
      </w:r>
      <w:r w:rsidRPr="00AD2447">
        <w:rPr>
          <w:snapToGrid/>
          <w:color w:val="000000" w:themeColor="text1"/>
          <w:kern w:val="2"/>
          <w:sz w:val="20"/>
          <w:lang w:val="en-US"/>
        </w:rPr>
        <w:t xml:space="preserve">. </w:t>
      </w:r>
      <w:r>
        <w:rPr>
          <w:snapToGrid/>
          <w:color w:val="000000" w:themeColor="text1"/>
          <w:kern w:val="2"/>
          <w:sz w:val="20"/>
          <w:lang w:val="en-US"/>
        </w:rPr>
        <w:t>e</w:t>
      </w:r>
      <w:r w:rsidRPr="00AD2447">
        <w:rPr>
          <w:snapToGrid/>
          <w:color w:val="000000" w:themeColor="text1"/>
          <w:kern w:val="2"/>
          <w:sz w:val="20"/>
          <w:lang w:val="en-US"/>
        </w:rPr>
        <w:t xml:space="preserve">LAA </w:t>
      </w:r>
      <w:r>
        <w:rPr>
          <w:snapToGrid/>
          <w:color w:val="000000" w:themeColor="text1"/>
          <w:kern w:val="2"/>
          <w:sz w:val="20"/>
          <w:lang w:val="en-US"/>
        </w:rPr>
        <w:t>U</w:t>
      </w:r>
      <w:r w:rsidRPr="00AD2447">
        <w:rPr>
          <w:snapToGrid/>
          <w:color w:val="000000" w:themeColor="text1"/>
          <w:kern w:val="2"/>
          <w:sz w:val="20"/>
          <w:lang w:val="en-US"/>
        </w:rPr>
        <w:t xml:space="preserve">L </w:t>
      </w:r>
      <w:r>
        <w:rPr>
          <w:snapToGrid/>
          <w:color w:val="000000" w:themeColor="text1"/>
          <w:kern w:val="2"/>
          <w:sz w:val="20"/>
          <w:lang w:val="en-US"/>
        </w:rPr>
        <w:t>interlaced PUSCH allocation</w:t>
      </w:r>
    </w:p>
    <w:p w14:paraId="107C2A05" w14:textId="77777777" w:rsidR="00E55BA5" w:rsidRDefault="00E55BA5" w:rsidP="005D33C5">
      <w:pPr>
        <w:pStyle w:val="LGTdoc1"/>
        <w:spacing w:beforeLines="0" w:before="240" w:after="120" w:afterAutospacing="0"/>
        <w:rPr>
          <w:b w:val="0"/>
          <w:i/>
          <w:snapToGrid/>
          <w:color w:val="000000" w:themeColor="text1"/>
          <w:kern w:val="2"/>
          <w:sz w:val="20"/>
          <w:u w:val="single"/>
          <w:lang w:val="en-US"/>
        </w:rPr>
      </w:pPr>
    </w:p>
    <w:p w14:paraId="0664BE36" w14:textId="77777777" w:rsidR="00E55BA5" w:rsidRDefault="00E55BA5" w:rsidP="005D33C5">
      <w:pPr>
        <w:pStyle w:val="LGTdoc1"/>
        <w:spacing w:beforeLines="0" w:before="240" w:after="120" w:afterAutospacing="0"/>
        <w:rPr>
          <w:b w:val="0"/>
          <w:i/>
          <w:snapToGrid/>
          <w:color w:val="000000" w:themeColor="text1"/>
          <w:kern w:val="2"/>
          <w:sz w:val="20"/>
          <w:u w:val="single"/>
          <w:lang w:val="en-US"/>
        </w:rPr>
      </w:pPr>
    </w:p>
    <w:p w14:paraId="61E1E087" w14:textId="77777777" w:rsidR="00E55BA5" w:rsidRDefault="00E55BA5" w:rsidP="005D33C5">
      <w:pPr>
        <w:pStyle w:val="LGTdoc1"/>
        <w:spacing w:beforeLines="0" w:before="240" w:after="120" w:afterAutospacing="0"/>
        <w:rPr>
          <w:b w:val="0"/>
          <w:i/>
          <w:snapToGrid/>
          <w:color w:val="000000" w:themeColor="text1"/>
          <w:kern w:val="2"/>
          <w:sz w:val="20"/>
          <w:u w:val="single"/>
          <w:lang w:val="en-US"/>
        </w:rPr>
      </w:pPr>
    </w:p>
    <w:p w14:paraId="50D38D8A" w14:textId="391E1443" w:rsidR="005D33C5" w:rsidRDefault="005D33C5" w:rsidP="005D33C5">
      <w:pPr>
        <w:pStyle w:val="LGTdoc1"/>
        <w:spacing w:beforeLines="0" w:before="240" w:after="120" w:afterAutospacing="0"/>
        <w:rPr>
          <w:b w:val="0"/>
          <w:snapToGrid/>
          <w:color w:val="000000" w:themeColor="text1"/>
          <w:kern w:val="2"/>
          <w:sz w:val="20"/>
          <w:lang w:val="en-US"/>
        </w:rPr>
      </w:pPr>
      <w:r w:rsidRPr="005D33C5">
        <w:rPr>
          <w:b w:val="0"/>
          <w:i/>
          <w:snapToGrid/>
          <w:color w:val="000000" w:themeColor="text1"/>
          <w:kern w:val="2"/>
          <w:sz w:val="20"/>
          <w:u w:val="single"/>
          <w:lang w:val="en-US"/>
        </w:rPr>
        <w:lastRenderedPageBreak/>
        <w:t>Inefficiency due to latency between UL grant and PUSCH transmission</w:t>
      </w:r>
      <w:r>
        <w:rPr>
          <w:b w:val="0"/>
          <w:snapToGrid/>
          <w:color w:val="000000" w:themeColor="text1"/>
          <w:kern w:val="2"/>
          <w:sz w:val="20"/>
          <w:lang w:val="en-US"/>
        </w:rPr>
        <w:t>:</w:t>
      </w:r>
    </w:p>
    <w:p w14:paraId="49219AD7" w14:textId="215D293E" w:rsidR="00E55BA5" w:rsidRDefault="00E55BA5"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 xml:space="preserve">The following figure explains the shared MCOT concept allowed by up-to-date draft ETSI BRAN Harmonized Standard (EN 301 893). </w:t>
      </w:r>
    </w:p>
    <w:p w14:paraId="1A05F7C2" w14:textId="77777777" w:rsidR="00A3547F" w:rsidRDefault="00A3547F" w:rsidP="005D33C5">
      <w:pPr>
        <w:pStyle w:val="LGTdoc1"/>
        <w:spacing w:beforeLines="0" w:before="240" w:after="120" w:afterAutospacing="0"/>
        <w:rPr>
          <w:b w:val="0"/>
          <w:snapToGrid/>
          <w:color w:val="000000" w:themeColor="text1"/>
          <w:kern w:val="2"/>
          <w:sz w:val="20"/>
          <w:lang w:val="en-US"/>
        </w:rPr>
      </w:pPr>
    </w:p>
    <w:p w14:paraId="285F220F" w14:textId="01DBAF5F" w:rsidR="005D33C5" w:rsidRDefault="00CD4CB4" w:rsidP="00CD4CB4">
      <w:pPr>
        <w:pStyle w:val="LGTdoc1"/>
        <w:spacing w:beforeLines="0" w:before="240" w:after="120" w:afterAutospacing="0"/>
        <w:jc w:val="center"/>
        <w:rPr>
          <w:b w:val="0"/>
          <w:snapToGrid/>
          <w:color w:val="000000" w:themeColor="text1"/>
          <w:kern w:val="2"/>
          <w:sz w:val="20"/>
          <w:lang w:val="en-US"/>
        </w:rPr>
      </w:pPr>
      <w:r w:rsidRPr="00CD4CB4">
        <w:rPr>
          <w:b w:val="0"/>
          <w:noProof/>
          <w:snapToGrid/>
          <w:color w:val="000000" w:themeColor="text1"/>
          <w:kern w:val="2"/>
          <w:sz w:val="20"/>
          <w:lang w:val="en-US" w:eastAsia="en-US"/>
        </w:rPr>
        <w:drawing>
          <wp:inline distT="0" distB="0" distL="0" distR="0" wp14:anchorId="63E38D2D" wp14:editId="01ECF99F">
            <wp:extent cx="2725616" cy="898113"/>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0"/>
                    <a:stretch>
                      <a:fillRect/>
                    </a:stretch>
                  </pic:blipFill>
                  <pic:spPr>
                    <a:xfrm>
                      <a:off x="0" y="0"/>
                      <a:ext cx="2744722" cy="904409"/>
                    </a:xfrm>
                    <a:prstGeom prst="rect">
                      <a:avLst/>
                    </a:prstGeom>
                  </pic:spPr>
                </pic:pic>
              </a:graphicData>
            </a:graphic>
          </wp:inline>
        </w:drawing>
      </w:r>
    </w:p>
    <w:p w14:paraId="0B7418B4" w14:textId="18F5D103" w:rsidR="00CD4CB4" w:rsidRPr="00E81DFA" w:rsidRDefault="00CD4CB4" w:rsidP="00A3547F">
      <w:pPr>
        <w:pStyle w:val="LGTdoc1"/>
        <w:spacing w:beforeLines="0" w:before="240" w:after="36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3</w:t>
      </w:r>
      <w:r w:rsidRPr="00AD2447">
        <w:rPr>
          <w:snapToGrid/>
          <w:color w:val="000000" w:themeColor="text1"/>
          <w:kern w:val="2"/>
          <w:sz w:val="20"/>
          <w:lang w:val="en-US"/>
        </w:rPr>
        <w:t xml:space="preserve">. </w:t>
      </w:r>
      <w:r>
        <w:rPr>
          <w:snapToGrid/>
          <w:color w:val="000000" w:themeColor="text1"/>
          <w:kern w:val="2"/>
          <w:sz w:val="20"/>
          <w:lang w:val="en-US"/>
        </w:rPr>
        <w:t>Shared channel occupancy time concept by ETSI regulation (Gap is not counted towards MCOT)</w:t>
      </w:r>
    </w:p>
    <w:p w14:paraId="677888C9" w14:textId="66EE77EE" w:rsidR="00E55BA5" w:rsidRDefault="00E55BA5"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 xml:space="preserve">An initiating device, e.g., eNB, shall perform </w:t>
      </w:r>
      <w:r w:rsidRPr="00E55BA5">
        <w:rPr>
          <w:b w:val="0"/>
          <w:snapToGrid/>
          <w:color w:val="000000" w:themeColor="text1"/>
          <w:kern w:val="2"/>
          <w:sz w:val="20"/>
          <w:lang w:val="en-US"/>
        </w:rPr>
        <w:t>a CCA mechanism with prioritized and truncated exponential backoff, i.e., Category 4 LBT.</w:t>
      </w:r>
      <w:r>
        <w:rPr>
          <w:b w:val="0"/>
          <w:snapToGrid/>
          <w:color w:val="000000" w:themeColor="text1"/>
          <w:kern w:val="2"/>
          <w:sz w:val="20"/>
          <w:lang w:val="en-US"/>
        </w:rPr>
        <w:t xml:space="preserve"> The responding node </w:t>
      </w:r>
      <w:r w:rsidRPr="00E55BA5">
        <w:rPr>
          <w:b w:val="0"/>
          <w:snapToGrid/>
          <w:color w:val="000000" w:themeColor="text1"/>
          <w:kern w:val="2"/>
          <w:sz w:val="20"/>
        </w:rPr>
        <w:t>shall perform a single interval CCA of 25 us immediately befor</w:t>
      </w:r>
      <w:r>
        <w:rPr>
          <w:b w:val="0"/>
          <w:snapToGrid/>
          <w:color w:val="000000" w:themeColor="text1"/>
          <w:kern w:val="2"/>
          <w:sz w:val="20"/>
        </w:rPr>
        <w:t xml:space="preserve">e the granted transmission time, if the gap is greater than 16 us. </w:t>
      </w:r>
      <w:r w:rsidRPr="00E55BA5">
        <w:rPr>
          <w:b w:val="0"/>
          <w:snapToGrid/>
          <w:color w:val="000000" w:themeColor="text1"/>
          <w:kern w:val="2"/>
          <w:sz w:val="20"/>
        </w:rPr>
        <w:t>The total MCOT is not reduced by a gap (due to e.g., pause or CCA</w:t>
      </w:r>
      <w:r>
        <w:rPr>
          <w:b w:val="0"/>
          <w:snapToGrid/>
          <w:color w:val="000000" w:themeColor="text1"/>
          <w:kern w:val="2"/>
          <w:sz w:val="20"/>
        </w:rPr>
        <w:t xml:space="preserve">), if the gap is at least 25 us, which is adopted </w:t>
      </w:r>
      <w:r w:rsidRPr="00E55BA5">
        <w:rPr>
          <w:b w:val="0"/>
          <w:snapToGrid/>
          <w:color w:val="000000" w:themeColor="text1"/>
          <w:kern w:val="2"/>
          <w:sz w:val="20"/>
        </w:rPr>
        <w:t>to accommodate the LTE’s fixed processing delay.</w:t>
      </w:r>
      <w:r>
        <w:rPr>
          <w:b w:val="0"/>
          <w:snapToGrid/>
          <w:color w:val="000000" w:themeColor="text1"/>
          <w:kern w:val="2"/>
          <w:sz w:val="20"/>
        </w:rPr>
        <w:t xml:space="preserve"> Nevertheless, it is very inefficient in UL heavy traffic scenario</w:t>
      </w:r>
      <w:r w:rsidR="006A24CB">
        <w:rPr>
          <w:b w:val="0"/>
          <w:snapToGrid/>
          <w:color w:val="000000" w:themeColor="text1"/>
          <w:kern w:val="2"/>
          <w:sz w:val="20"/>
        </w:rPr>
        <w:t xml:space="preserve"> with having gap in between transmissions. It is also disadvantageous in the sense that the </w:t>
      </w:r>
      <w:r w:rsidR="006A24CB" w:rsidRPr="006A24CB">
        <w:rPr>
          <w:b w:val="0"/>
          <w:snapToGrid/>
          <w:color w:val="000000" w:themeColor="text1"/>
          <w:kern w:val="2"/>
          <w:sz w:val="20"/>
        </w:rPr>
        <w:t>channel access opportunity can be intercepted by other nodes</w:t>
      </w:r>
      <w:r w:rsidR="006A24CB">
        <w:rPr>
          <w:b w:val="0"/>
          <w:snapToGrid/>
          <w:color w:val="000000" w:themeColor="text1"/>
          <w:kern w:val="2"/>
          <w:sz w:val="20"/>
        </w:rPr>
        <w:t xml:space="preserve"> during the gap</w:t>
      </w:r>
      <w:r w:rsidR="006A24CB" w:rsidRPr="006A24CB">
        <w:rPr>
          <w:b w:val="0"/>
          <w:snapToGrid/>
          <w:color w:val="000000" w:themeColor="text1"/>
          <w:kern w:val="2"/>
          <w:sz w:val="20"/>
        </w:rPr>
        <w:t>, although cross-carrier scheduling can solve the issue to some degree.</w:t>
      </w:r>
    </w:p>
    <w:p w14:paraId="62CD42F3" w14:textId="5D6C1810" w:rsidR="005D33C5" w:rsidRDefault="00FB42B2" w:rsidP="005D33C5">
      <w:pPr>
        <w:pStyle w:val="LGTdoc1"/>
        <w:spacing w:beforeLines="0" w:before="240" w:after="120" w:afterAutospacing="0"/>
        <w:rPr>
          <w:b w:val="0"/>
          <w:snapToGrid/>
          <w:color w:val="000000" w:themeColor="text1"/>
          <w:kern w:val="2"/>
          <w:sz w:val="20"/>
          <w:lang w:val="en-US"/>
        </w:rPr>
      </w:pPr>
      <w:r>
        <w:rPr>
          <w:b w:val="0"/>
          <w:i/>
          <w:snapToGrid/>
          <w:color w:val="000000" w:themeColor="text1"/>
          <w:kern w:val="2"/>
          <w:sz w:val="20"/>
          <w:u w:val="single"/>
          <w:lang w:val="en-US"/>
        </w:rPr>
        <w:t>LBT p</w:t>
      </w:r>
      <w:r w:rsidR="005D33C5" w:rsidRPr="005D33C5">
        <w:rPr>
          <w:b w:val="0"/>
          <w:i/>
          <w:snapToGrid/>
          <w:color w:val="000000" w:themeColor="text1"/>
          <w:kern w:val="2"/>
          <w:sz w:val="20"/>
          <w:u w:val="single"/>
          <w:lang w:val="en-US"/>
        </w:rPr>
        <w:t>riority class handling</w:t>
      </w:r>
      <w:r w:rsidR="005D33C5">
        <w:rPr>
          <w:b w:val="0"/>
          <w:snapToGrid/>
          <w:color w:val="000000" w:themeColor="text1"/>
          <w:kern w:val="2"/>
          <w:sz w:val="20"/>
          <w:lang w:val="en-US"/>
        </w:rPr>
        <w:t>:</w:t>
      </w:r>
    </w:p>
    <w:p w14:paraId="67E47AE3" w14:textId="2E57733E" w:rsidR="005D33C5" w:rsidRDefault="006A24CB" w:rsidP="005D33C5">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If a UE selects the LBT priority class by itself, it is not known</w:t>
      </w:r>
      <w:r w:rsidR="00A3547F">
        <w:rPr>
          <w:b w:val="0"/>
          <w:snapToGrid/>
          <w:color w:val="000000" w:themeColor="text1"/>
          <w:kern w:val="2"/>
          <w:sz w:val="20"/>
          <w:lang w:val="en-US"/>
        </w:rPr>
        <w:t xml:space="preserve"> a priori</w:t>
      </w:r>
      <w:r>
        <w:rPr>
          <w:b w:val="0"/>
          <w:snapToGrid/>
          <w:color w:val="000000" w:themeColor="text1"/>
          <w:kern w:val="2"/>
          <w:sz w:val="20"/>
          <w:lang w:val="en-US"/>
        </w:rPr>
        <w:t xml:space="preserve"> at the eNB side on how many subframe</w:t>
      </w:r>
      <w:r w:rsidR="009E45EC">
        <w:rPr>
          <w:b w:val="0"/>
          <w:snapToGrid/>
          <w:color w:val="000000" w:themeColor="text1"/>
          <w:kern w:val="2"/>
          <w:sz w:val="20"/>
          <w:lang w:val="en-US"/>
        </w:rPr>
        <w:t>s</w:t>
      </w:r>
      <w:r>
        <w:rPr>
          <w:b w:val="0"/>
          <w:snapToGrid/>
          <w:color w:val="000000" w:themeColor="text1"/>
          <w:kern w:val="2"/>
          <w:sz w:val="20"/>
          <w:lang w:val="en-US"/>
        </w:rPr>
        <w:t xml:space="preserve"> to schedule.</w:t>
      </w:r>
      <w:r w:rsidR="009E45EC">
        <w:rPr>
          <w:b w:val="0"/>
          <w:snapToGrid/>
          <w:color w:val="000000" w:themeColor="text1"/>
          <w:kern w:val="2"/>
          <w:sz w:val="20"/>
          <w:lang w:val="en-US"/>
        </w:rPr>
        <w:t xml:space="preserve"> That is why eLAA is designed in such a way that eNB signals the LBT priority class to UE to be used.</w:t>
      </w:r>
      <w:r>
        <w:rPr>
          <w:b w:val="0"/>
          <w:snapToGrid/>
          <w:color w:val="000000" w:themeColor="text1"/>
          <w:kern w:val="2"/>
          <w:sz w:val="20"/>
          <w:lang w:val="en-US"/>
        </w:rPr>
        <w:t xml:space="preserve"> </w:t>
      </w:r>
      <w:r w:rsidR="009E45EC">
        <w:rPr>
          <w:b w:val="0"/>
          <w:snapToGrid/>
          <w:color w:val="000000" w:themeColor="text1"/>
          <w:kern w:val="2"/>
          <w:sz w:val="20"/>
          <w:lang w:val="en-US"/>
        </w:rPr>
        <w:t xml:space="preserve">On the other hand, the eNB do not know the exact buffer </w:t>
      </w:r>
      <w:r w:rsidR="006F19E6">
        <w:rPr>
          <w:b w:val="0"/>
          <w:snapToGrid/>
          <w:color w:val="000000" w:themeColor="text1"/>
          <w:kern w:val="2"/>
          <w:sz w:val="20"/>
          <w:lang w:val="en-US"/>
        </w:rPr>
        <w:t xml:space="preserve">status at the UE as the BSR can be outdated. </w:t>
      </w:r>
    </w:p>
    <w:p w14:paraId="5FD2E9D2" w14:textId="6CD63044" w:rsidR="00C94849" w:rsidRPr="002A1161" w:rsidRDefault="008C4BA8" w:rsidP="00C94849">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Forward compatibil</w:t>
      </w:r>
      <w:r w:rsidR="000A2CA8">
        <w:rPr>
          <w:rFonts w:ascii="Arial" w:eastAsia="SimSun" w:hAnsi="Arial" w:cs="Arial"/>
          <w:sz w:val="24"/>
          <w:lang w:val="en-US" w:eastAsia="zh-CN"/>
        </w:rPr>
        <w:t>ity considerations</w:t>
      </w:r>
    </w:p>
    <w:p w14:paraId="3BCFD128" w14:textId="5DB8047C" w:rsidR="004C4DF9" w:rsidRDefault="004C4DF9" w:rsidP="004C4DF9">
      <w:pPr>
        <w:pStyle w:val="LGTdoc1"/>
        <w:spacing w:beforeLines="0" w:before="240" w:after="120" w:afterAutospacing="0"/>
        <w:rPr>
          <w:b w:val="0"/>
          <w:snapToGrid/>
          <w:color w:val="000000" w:themeColor="text1"/>
          <w:kern w:val="2"/>
          <w:sz w:val="20"/>
          <w:lang w:val="en-US"/>
        </w:rPr>
      </w:pPr>
      <w:r w:rsidRPr="004C4DF9">
        <w:rPr>
          <w:b w:val="0"/>
          <w:i/>
          <w:snapToGrid/>
          <w:color w:val="000000" w:themeColor="text1"/>
          <w:kern w:val="2"/>
          <w:sz w:val="20"/>
          <w:u w:val="single"/>
          <w:lang w:val="en-US"/>
        </w:rPr>
        <w:t>Wide subcarrier spacing</w:t>
      </w:r>
      <w:r>
        <w:rPr>
          <w:b w:val="0"/>
          <w:snapToGrid/>
          <w:color w:val="000000" w:themeColor="text1"/>
          <w:kern w:val="2"/>
          <w:sz w:val="20"/>
          <w:lang w:val="en-US"/>
        </w:rPr>
        <w:t>:</w:t>
      </w:r>
    </w:p>
    <w:p w14:paraId="3B022E53" w14:textId="7633F939" w:rsidR="004C4DF9" w:rsidRDefault="007E26D8"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In RAN</w:t>
      </w:r>
      <w:r w:rsidR="004C4DF9">
        <w:rPr>
          <w:b w:val="0"/>
          <w:snapToGrid/>
          <w:color w:val="000000" w:themeColor="text1"/>
          <w:kern w:val="2"/>
          <w:sz w:val="20"/>
          <w:lang w:val="en-US"/>
        </w:rPr>
        <w:t xml:space="preserve">1 #85, it is the working assumption that 15 kHz </w:t>
      </w:r>
      <w:r w:rsidR="00BC2013">
        <w:rPr>
          <w:b w:val="0"/>
          <w:snapToGrid/>
          <w:color w:val="000000" w:themeColor="text1"/>
          <w:kern w:val="2"/>
          <w:sz w:val="20"/>
          <w:lang w:val="en-US"/>
        </w:rPr>
        <w:t xml:space="preserve">subcarrier spacing </w:t>
      </w:r>
      <w:r w:rsidR="004C4DF9">
        <w:rPr>
          <w:b w:val="0"/>
          <w:snapToGrid/>
          <w:color w:val="000000" w:themeColor="text1"/>
          <w:kern w:val="2"/>
          <w:sz w:val="20"/>
          <w:lang w:val="en-US"/>
        </w:rPr>
        <w:t>is the baseline design assumption for the NR numerology with the scaling factor of 2</w:t>
      </w:r>
      <w:r w:rsidR="004C4DF9" w:rsidRPr="004C4DF9">
        <w:rPr>
          <w:b w:val="0"/>
          <w:snapToGrid/>
          <w:color w:val="000000" w:themeColor="text1"/>
          <w:kern w:val="2"/>
          <w:sz w:val="20"/>
          <w:vertAlign w:val="superscript"/>
          <w:lang w:val="en-US"/>
        </w:rPr>
        <w:t>n</w:t>
      </w:r>
      <w:r w:rsidR="00434499">
        <w:rPr>
          <w:b w:val="0"/>
          <w:snapToGrid/>
          <w:color w:val="000000" w:themeColor="text1"/>
          <w:kern w:val="2"/>
          <w:sz w:val="20"/>
          <w:vertAlign w:val="superscript"/>
          <w:lang w:val="en-US"/>
        </w:rPr>
        <w:t xml:space="preserve"> </w:t>
      </w:r>
      <w:r w:rsidR="00434499">
        <w:rPr>
          <w:b w:val="0"/>
          <w:snapToGrid/>
          <w:color w:val="000000" w:themeColor="text1"/>
          <w:kern w:val="2"/>
          <w:sz w:val="20"/>
          <w:lang w:val="en-US"/>
        </w:rPr>
        <w:t>[1].</w:t>
      </w:r>
      <w:r w:rsidR="004C4DF9">
        <w:rPr>
          <w:b w:val="0"/>
          <w:snapToGrid/>
          <w:color w:val="000000" w:themeColor="text1"/>
          <w:kern w:val="2"/>
          <w:sz w:val="20"/>
          <w:lang w:val="en-US"/>
        </w:rPr>
        <w:t xml:space="preserve"> </w:t>
      </w:r>
      <w:r w:rsidR="00E53797">
        <w:rPr>
          <w:b w:val="0"/>
          <w:snapToGrid/>
          <w:color w:val="000000" w:themeColor="text1"/>
          <w:kern w:val="2"/>
          <w:sz w:val="20"/>
          <w:lang w:val="en-US"/>
        </w:rPr>
        <w:t>For the scaling factor of 4, the subcarrier spacing is 60 kHz</w:t>
      </w:r>
      <w:r w:rsidR="00272126">
        <w:rPr>
          <w:b w:val="0"/>
          <w:snapToGrid/>
          <w:color w:val="000000" w:themeColor="text1"/>
          <w:kern w:val="2"/>
          <w:sz w:val="20"/>
          <w:lang w:val="en-US"/>
        </w:rPr>
        <w:t>, which gives ¼ of the symbol duration compared to the LTE system and consequently the baseline TTI becomes 0.25 ms for TTI consisting of 14 symbols.</w:t>
      </w:r>
    </w:p>
    <w:p w14:paraId="7B50AAF6" w14:textId="77777777" w:rsidR="00272126" w:rsidRDefault="00272126" w:rsidP="004C4DF9">
      <w:pPr>
        <w:pStyle w:val="LGTdoc1"/>
        <w:spacing w:beforeLines="0" w:before="120" w:after="0" w:afterAutospacing="0"/>
        <w:rPr>
          <w:b w:val="0"/>
          <w:snapToGrid/>
          <w:color w:val="000000" w:themeColor="text1"/>
          <w:kern w:val="2"/>
          <w:sz w:val="20"/>
          <w:lang w:val="en-US"/>
        </w:rPr>
      </w:pPr>
    </w:p>
    <w:p w14:paraId="03A99CB6" w14:textId="648379A4" w:rsidR="00272126" w:rsidRDefault="00272126" w:rsidP="00D9684D">
      <w:pPr>
        <w:pStyle w:val="LGTdoc1"/>
        <w:spacing w:beforeLines="0" w:before="120" w:after="0" w:afterAutospacing="0"/>
        <w:jc w:val="center"/>
        <w:rPr>
          <w:b w:val="0"/>
          <w:snapToGrid/>
          <w:color w:val="000000" w:themeColor="text1"/>
          <w:kern w:val="2"/>
          <w:sz w:val="20"/>
          <w:lang w:val="en-US"/>
        </w:rPr>
      </w:pPr>
      <w:r w:rsidRPr="00272126">
        <w:rPr>
          <w:b w:val="0"/>
          <w:noProof/>
          <w:snapToGrid/>
          <w:color w:val="000000" w:themeColor="text1"/>
          <w:kern w:val="2"/>
          <w:sz w:val="20"/>
          <w:lang w:val="en-US" w:eastAsia="en-US"/>
        </w:rPr>
        <w:drawing>
          <wp:inline distT="0" distB="0" distL="0" distR="0" wp14:anchorId="22DE85C9" wp14:editId="70755BB3">
            <wp:extent cx="2743200" cy="7863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2751376" cy="788711"/>
                    </a:xfrm>
                    <a:prstGeom prst="rect">
                      <a:avLst/>
                    </a:prstGeom>
                  </pic:spPr>
                </pic:pic>
              </a:graphicData>
            </a:graphic>
          </wp:inline>
        </w:drawing>
      </w:r>
    </w:p>
    <w:p w14:paraId="13BB7615" w14:textId="165921E6" w:rsidR="00D9684D" w:rsidRPr="00E81DFA" w:rsidRDefault="00D9684D" w:rsidP="00D9684D">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4</w:t>
      </w:r>
      <w:r w:rsidRPr="00AD2447">
        <w:rPr>
          <w:snapToGrid/>
          <w:color w:val="000000" w:themeColor="text1"/>
          <w:kern w:val="2"/>
          <w:sz w:val="20"/>
          <w:lang w:val="en-US"/>
        </w:rPr>
        <w:t xml:space="preserve">. </w:t>
      </w:r>
      <w:r>
        <w:rPr>
          <w:snapToGrid/>
          <w:color w:val="000000" w:themeColor="text1"/>
          <w:kern w:val="2"/>
          <w:sz w:val="20"/>
          <w:lang w:val="en-US"/>
        </w:rPr>
        <w:t>Impact of reduced TTI in unlicensed operation</w:t>
      </w:r>
    </w:p>
    <w:p w14:paraId="01C901FB" w14:textId="77777777" w:rsidR="00272126" w:rsidRDefault="00272126" w:rsidP="004C4DF9">
      <w:pPr>
        <w:pStyle w:val="LGTdoc1"/>
        <w:spacing w:beforeLines="0" w:before="120" w:after="0" w:afterAutospacing="0"/>
        <w:rPr>
          <w:b w:val="0"/>
          <w:snapToGrid/>
          <w:color w:val="000000" w:themeColor="text1"/>
          <w:kern w:val="2"/>
          <w:sz w:val="20"/>
          <w:lang w:val="en-US"/>
        </w:rPr>
      </w:pPr>
    </w:p>
    <w:p w14:paraId="614BE79F" w14:textId="22EF5D04" w:rsidR="00D9684D" w:rsidRDefault="00D9684D"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As shown in the figure above, reduced TTI can </w:t>
      </w:r>
      <w:r w:rsidR="00B653C7">
        <w:rPr>
          <w:b w:val="0"/>
          <w:snapToGrid/>
          <w:color w:val="000000" w:themeColor="text1"/>
          <w:kern w:val="2"/>
          <w:sz w:val="20"/>
          <w:lang w:val="en-US"/>
        </w:rPr>
        <w:t xml:space="preserve">naturally </w:t>
      </w:r>
      <w:r>
        <w:rPr>
          <w:b w:val="0"/>
          <w:snapToGrid/>
          <w:color w:val="000000" w:themeColor="text1"/>
          <w:kern w:val="2"/>
          <w:sz w:val="20"/>
          <w:lang w:val="en-US"/>
        </w:rPr>
        <w:t>resolve the inefficiency issue to some extend</w:t>
      </w:r>
      <w:r w:rsidR="00B653C7">
        <w:rPr>
          <w:b w:val="0"/>
          <w:snapToGrid/>
          <w:color w:val="000000" w:themeColor="text1"/>
          <w:kern w:val="2"/>
          <w:sz w:val="20"/>
          <w:lang w:val="en-US"/>
        </w:rPr>
        <w:t xml:space="preserve"> without introducing initial partial subframe as in LTE LAA.</w:t>
      </w:r>
    </w:p>
    <w:p w14:paraId="75A6E077" w14:textId="092A2DE7" w:rsidR="00DB586C" w:rsidRPr="00DB586C" w:rsidRDefault="00DB586C" w:rsidP="00DB586C">
      <w:pPr>
        <w:pStyle w:val="LGTdoc1"/>
        <w:spacing w:beforeLines="0" w:before="240" w:after="240" w:afterAutospacing="0"/>
        <w:rPr>
          <w:snapToGrid/>
          <w:color w:val="000000" w:themeColor="text1"/>
          <w:kern w:val="2"/>
          <w:sz w:val="20"/>
          <w:lang w:val="en-US"/>
        </w:rPr>
      </w:pPr>
      <w:r w:rsidRPr="00DB586C">
        <w:rPr>
          <w:snapToGrid/>
          <w:color w:val="000000" w:themeColor="text1"/>
          <w:kern w:val="2"/>
          <w:sz w:val="20"/>
          <w:lang w:val="en-US"/>
        </w:rPr>
        <w:t>Suggestion 1:</w:t>
      </w:r>
      <w:r w:rsidR="00BC2013">
        <w:rPr>
          <w:snapToGrid/>
          <w:color w:val="000000" w:themeColor="text1"/>
          <w:kern w:val="2"/>
          <w:sz w:val="20"/>
          <w:lang w:val="en-US"/>
        </w:rPr>
        <w:t xml:space="preserve"> Wide subcarrier spacing for NR, or equivalently reduced TTI for </w:t>
      </w:r>
      <w:r w:rsidR="00BC165A">
        <w:rPr>
          <w:snapToGrid/>
          <w:color w:val="000000" w:themeColor="text1"/>
          <w:kern w:val="2"/>
          <w:sz w:val="20"/>
          <w:lang w:val="en-US"/>
        </w:rPr>
        <w:t>a</w:t>
      </w:r>
      <w:r w:rsidR="00BC2013">
        <w:rPr>
          <w:snapToGrid/>
          <w:color w:val="000000" w:themeColor="text1"/>
          <w:kern w:val="2"/>
          <w:sz w:val="20"/>
          <w:lang w:val="en-US"/>
        </w:rPr>
        <w:t xml:space="preserve"> given number of symbols, </w:t>
      </w:r>
      <w:r w:rsidR="00BC2013" w:rsidRPr="00BC2013">
        <w:rPr>
          <w:snapToGrid/>
          <w:color w:val="000000" w:themeColor="text1"/>
          <w:kern w:val="2"/>
          <w:sz w:val="20"/>
          <w:lang w:val="en-US"/>
        </w:rPr>
        <w:t>can naturally resolve the inefficiency issue</w:t>
      </w:r>
      <w:r w:rsidR="00FA44E1">
        <w:rPr>
          <w:snapToGrid/>
          <w:color w:val="000000" w:themeColor="text1"/>
          <w:kern w:val="2"/>
          <w:sz w:val="20"/>
          <w:lang w:val="en-US"/>
        </w:rPr>
        <w:t xml:space="preserve"> due to the fixed TTI boundary</w:t>
      </w:r>
      <w:r w:rsidR="00BC2013" w:rsidRPr="00BC2013">
        <w:rPr>
          <w:snapToGrid/>
          <w:color w:val="000000" w:themeColor="text1"/>
          <w:kern w:val="2"/>
          <w:sz w:val="20"/>
          <w:lang w:val="en-US"/>
        </w:rPr>
        <w:t xml:space="preserve"> to some extend without introducing initial partial subframe</w:t>
      </w:r>
      <w:r w:rsidR="00FA44E1">
        <w:rPr>
          <w:snapToGrid/>
          <w:color w:val="000000" w:themeColor="text1"/>
          <w:kern w:val="2"/>
          <w:sz w:val="20"/>
          <w:lang w:val="en-US"/>
        </w:rPr>
        <w:t xml:space="preserve"> concept</w:t>
      </w:r>
      <w:r w:rsidR="00BC2013" w:rsidRPr="00BC2013">
        <w:rPr>
          <w:snapToGrid/>
          <w:color w:val="000000" w:themeColor="text1"/>
          <w:kern w:val="2"/>
          <w:sz w:val="20"/>
          <w:lang w:val="en-US"/>
        </w:rPr>
        <w:t xml:space="preserve"> as in LTE</w:t>
      </w:r>
      <w:r w:rsidR="00FA44E1">
        <w:rPr>
          <w:snapToGrid/>
          <w:color w:val="000000" w:themeColor="text1"/>
          <w:kern w:val="2"/>
          <w:sz w:val="20"/>
          <w:lang w:val="en-US"/>
        </w:rPr>
        <w:t xml:space="preserve"> Release 13 for</w:t>
      </w:r>
      <w:r w:rsidR="00BC2013" w:rsidRPr="00BC2013">
        <w:rPr>
          <w:snapToGrid/>
          <w:color w:val="000000" w:themeColor="text1"/>
          <w:kern w:val="2"/>
          <w:sz w:val="20"/>
          <w:lang w:val="en-US"/>
        </w:rPr>
        <w:t xml:space="preserve"> LAA.</w:t>
      </w:r>
    </w:p>
    <w:p w14:paraId="5ACF7C4F" w14:textId="3C2406E4" w:rsidR="006F3667" w:rsidRDefault="006F3667" w:rsidP="006F3667">
      <w:pPr>
        <w:pStyle w:val="LGTdoc1"/>
        <w:spacing w:beforeLines="0" w:before="240" w:after="120" w:afterAutospacing="0"/>
        <w:rPr>
          <w:b w:val="0"/>
          <w:snapToGrid/>
          <w:color w:val="000000" w:themeColor="text1"/>
          <w:kern w:val="2"/>
          <w:sz w:val="20"/>
          <w:lang w:val="en-US"/>
        </w:rPr>
      </w:pPr>
      <w:r w:rsidRPr="006F3667">
        <w:rPr>
          <w:b w:val="0"/>
          <w:i/>
          <w:snapToGrid/>
          <w:color w:val="000000" w:themeColor="text1"/>
          <w:kern w:val="2"/>
          <w:sz w:val="20"/>
          <w:u w:val="single"/>
          <w:lang w:val="en-US"/>
        </w:rPr>
        <w:lastRenderedPageBreak/>
        <w:t>Shortened TTI</w:t>
      </w:r>
      <w:r>
        <w:rPr>
          <w:b w:val="0"/>
          <w:snapToGrid/>
          <w:color w:val="000000" w:themeColor="text1"/>
          <w:kern w:val="2"/>
          <w:sz w:val="20"/>
          <w:lang w:val="en-US"/>
        </w:rPr>
        <w:t>:</w:t>
      </w:r>
      <w:r w:rsidR="00535C93">
        <w:rPr>
          <w:b w:val="0"/>
          <w:snapToGrid/>
          <w:color w:val="000000" w:themeColor="text1"/>
          <w:kern w:val="2"/>
          <w:sz w:val="20"/>
          <w:lang w:val="en-US"/>
        </w:rPr>
        <w:t xml:space="preserve"> </w:t>
      </w:r>
    </w:p>
    <w:p w14:paraId="0D7102DB" w14:textId="7F1D0225" w:rsidR="006F3667" w:rsidRDefault="000C6700"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The Release 14 latency reduction study was completed and reported in TR 36.881 [2].</w:t>
      </w:r>
      <w:r w:rsidR="00535C93">
        <w:rPr>
          <w:b w:val="0"/>
          <w:snapToGrid/>
          <w:color w:val="000000" w:themeColor="text1"/>
          <w:kern w:val="2"/>
          <w:sz w:val="20"/>
          <w:lang w:val="en-US"/>
        </w:rPr>
        <w:t xml:space="preserve"> </w:t>
      </w:r>
      <w:r w:rsidR="00535C93" w:rsidRPr="00535C93">
        <w:rPr>
          <w:b w:val="0"/>
          <w:snapToGrid/>
          <w:color w:val="000000" w:themeColor="text1"/>
          <w:kern w:val="2"/>
          <w:sz w:val="20"/>
          <w:lang w:val="en-US"/>
        </w:rPr>
        <w:t>In the study, the following</w:t>
      </w:r>
      <w:r w:rsidR="00535C93">
        <w:rPr>
          <w:b w:val="0"/>
          <w:snapToGrid/>
          <w:color w:val="000000" w:themeColor="text1"/>
          <w:kern w:val="2"/>
          <w:sz w:val="20"/>
          <w:lang w:val="en-US"/>
        </w:rPr>
        <w:t xml:space="preserve"> options of</w:t>
      </w:r>
      <w:r w:rsidR="00535C93" w:rsidRPr="00535C93">
        <w:rPr>
          <w:b w:val="0"/>
          <w:snapToGrid/>
          <w:color w:val="000000" w:themeColor="text1"/>
          <w:kern w:val="2"/>
          <w:sz w:val="20"/>
          <w:lang w:val="en-US"/>
        </w:rPr>
        <w:t xml:space="preserve"> reduced TTIs were suggested to be further studied during the WI phase.</w:t>
      </w:r>
    </w:p>
    <w:p w14:paraId="24F356CF" w14:textId="77777777" w:rsidR="001D1D99" w:rsidRDefault="00535C93" w:rsidP="001D1D99">
      <w:pPr>
        <w:pStyle w:val="LGTdoc1"/>
        <w:numPr>
          <w:ilvl w:val="0"/>
          <w:numId w:val="17"/>
        </w:numPr>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FS1: 2-symbol, 1-slot sTTI for sPDSCH/sPDCCH. 2-symbol, 4-symbol, and 1-slot sTTI for </w:t>
      </w:r>
      <w:proofErr w:type="spellStart"/>
      <w:r w:rsidR="001D1D99" w:rsidRPr="001D1D99">
        <w:rPr>
          <w:b w:val="0"/>
          <w:snapToGrid/>
          <w:color w:val="000000" w:themeColor="text1"/>
          <w:kern w:val="2"/>
          <w:sz w:val="20"/>
          <w:lang w:val="en-US"/>
        </w:rPr>
        <w:t>sPUCCH</w:t>
      </w:r>
      <w:proofErr w:type="spellEnd"/>
      <w:r w:rsidR="001D1D99" w:rsidRPr="001D1D99">
        <w:rPr>
          <w:b w:val="0"/>
          <w:snapToGrid/>
          <w:color w:val="000000" w:themeColor="text1"/>
          <w:kern w:val="2"/>
          <w:sz w:val="20"/>
          <w:lang w:val="en-US"/>
        </w:rPr>
        <w:t>/</w:t>
      </w:r>
      <w:proofErr w:type="spellStart"/>
      <w:r w:rsidR="001D1D99" w:rsidRPr="001D1D99">
        <w:rPr>
          <w:b w:val="0"/>
          <w:snapToGrid/>
          <w:color w:val="000000" w:themeColor="text1"/>
          <w:kern w:val="2"/>
          <w:sz w:val="20"/>
          <w:lang w:val="en-US"/>
        </w:rPr>
        <w:t>sPUSCH</w:t>
      </w:r>
      <w:proofErr w:type="spellEnd"/>
      <w:r w:rsidR="001D1D99">
        <w:rPr>
          <w:b w:val="0"/>
          <w:snapToGrid/>
          <w:color w:val="000000" w:themeColor="text1"/>
          <w:kern w:val="2"/>
          <w:sz w:val="20"/>
          <w:lang w:val="en-US"/>
        </w:rPr>
        <w:t>.</w:t>
      </w:r>
    </w:p>
    <w:p w14:paraId="6173AA1C" w14:textId="77777777" w:rsidR="001D1D99" w:rsidRDefault="001D1D99" w:rsidP="001D1D99">
      <w:pPr>
        <w:pStyle w:val="LGTdoc1"/>
        <w:numPr>
          <w:ilvl w:val="0"/>
          <w:numId w:val="17"/>
        </w:numPr>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FS2: </w:t>
      </w:r>
      <w:r w:rsidRPr="001D1D99">
        <w:rPr>
          <w:b w:val="0"/>
          <w:snapToGrid/>
          <w:color w:val="000000" w:themeColor="text1"/>
          <w:kern w:val="2"/>
          <w:sz w:val="20"/>
          <w:lang w:val="en-US"/>
        </w:rPr>
        <w:t xml:space="preserve">1-slot </w:t>
      </w:r>
      <w:proofErr w:type="spellStart"/>
      <w:r w:rsidRPr="001D1D99">
        <w:rPr>
          <w:b w:val="0"/>
          <w:snapToGrid/>
          <w:color w:val="000000" w:themeColor="text1"/>
          <w:kern w:val="2"/>
          <w:sz w:val="20"/>
          <w:lang w:val="en-US"/>
        </w:rPr>
        <w:t>sTTI</w:t>
      </w:r>
      <w:proofErr w:type="spellEnd"/>
      <w:r w:rsidRPr="001D1D99">
        <w:rPr>
          <w:b w:val="0"/>
          <w:snapToGrid/>
          <w:color w:val="000000" w:themeColor="text1"/>
          <w:kern w:val="2"/>
          <w:sz w:val="20"/>
          <w:lang w:val="en-US"/>
        </w:rPr>
        <w:t xml:space="preserve"> for </w:t>
      </w:r>
      <w:proofErr w:type="spellStart"/>
      <w:r w:rsidRPr="001D1D99">
        <w:rPr>
          <w:b w:val="0"/>
          <w:snapToGrid/>
          <w:color w:val="000000" w:themeColor="text1"/>
          <w:kern w:val="2"/>
          <w:sz w:val="20"/>
          <w:lang w:val="en-US"/>
        </w:rPr>
        <w:t>sPDSCH</w:t>
      </w:r>
      <w:proofErr w:type="spellEnd"/>
      <w:r w:rsidRPr="001D1D99">
        <w:rPr>
          <w:b w:val="0"/>
          <w:snapToGrid/>
          <w:color w:val="000000" w:themeColor="text1"/>
          <w:kern w:val="2"/>
          <w:sz w:val="20"/>
          <w:lang w:val="en-US"/>
        </w:rPr>
        <w:t>/</w:t>
      </w:r>
      <w:proofErr w:type="spellStart"/>
      <w:r w:rsidRPr="001D1D99">
        <w:rPr>
          <w:b w:val="0"/>
          <w:snapToGrid/>
          <w:color w:val="000000" w:themeColor="text1"/>
          <w:kern w:val="2"/>
          <w:sz w:val="20"/>
          <w:lang w:val="en-US"/>
        </w:rPr>
        <w:t>sPDCCH</w:t>
      </w:r>
      <w:proofErr w:type="spellEnd"/>
      <w:r w:rsidRPr="001D1D99">
        <w:rPr>
          <w:b w:val="0"/>
          <w:snapToGrid/>
          <w:color w:val="000000" w:themeColor="text1"/>
          <w:kern w:val="2"/>
          <w:sz w:val="20"/>
          <w:lang w:val="en-US"/>
        </w:rPr>
        <w:t>/</w:t>
      </w:r>
      <w:proofErr w:type="spellStart"/>
      <w:r w:rsidRPr="001D1D99">
        <w:rPr>
          <w:b w:val="0"/>
          <w:snapToGrid/>
          <w:color w:val="000000" w:themeColor="text1"/>
          <w:kern w:val="2"/>
          <w:sz w:val="20"/>
          <w:lang w:val="en-US"/>
        </w:rPr>
        <w:t>sPUSCH</w:t>
      </w:r>
      <w:proofErr w:type="spellEnd"/>
      <w:r w:rsidRPr="001D1D99">
        <w:rPr>
          <w:b w:val="0"/>
          <w:snapToGrid/>
          <w:color w:val="000000" w:themeColor="text1"/>
          <w:kern w:val="2"/>
          <w:sz w:val="20"/>
          <w:lang w:val="en-US"/>
        </w:rPr>
        <w:t>/</w:t>
      </w:r>
      <w:proofErr w:type="spellStart"/>
      <w:r w:rsidRPr="001D1D99">
        <w:rPr>
          <w:b w:val="0"/>
          <w:snapToGrid/>
          <w:color w:val="000000" w:themeColor="text1"/>
          <w:kern w:val="2"/>
          <w:sz w:val="20"/>
          <w:lang w:val="en-US"/>
        </w:rPr>
        <w:t>sPUCCH</w:t>
      </w:r>
      <w:proofErr w:type="spellEnd"/>
      <w:r>
        <w:rPr>
          <w:b w:val="0"/>
          <w:snapToGrid/>
          <w:color w:val="000000" w:themeColor="text1"/>
          <w:kern w:val="2"/>
          <w:sz w:val="20"/>
          <w:lang w:val="en-US"/>
        </w:rPr>
        <w:t>.</w:t>
      </w:r>
    </w:p>
    <w:p w14:paraId="16E838E9" w14:textId="7AB1232B" w:rsidR="00535C93" w:rsidRDefault="001D1D99" w:rsidP="001D1D9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Shortened TTI support can further help to resolve the medium utilization inefficiency issue, which were tackled by introducing initial partial subframe in Release 13 LAA design. Small packet transmission can be </w:t>
      </w:r>
      <w:r w:rsidR="00BC165A">
        <w:rPr>
          <w:b w:val="0"/>
          <w:snapToGrid/>
          <w:color w:val="000000" w:themeColor="text1"/>
          <w:kern w:val="2"/>
          <w:sz w:val="20"/>
          <w:lang w:val="en-US"/>
        </w:rPr>
        <w:t>benefited</w:t>
      </w:r>
      <w:r>
        <w:rPr>
          <w:b w:val="0"/>
          <w:snapToGrid/>
          <w:color w:val="000000" w:themeColor="text1"/>
          <w:kern w:val="2"/>
          <w:sz w:val="20"/>
          <w:lang w:val="en-US"/>
        </w:rPr>
        <w:t xml:space="preserve"> </w:t>
      </w:r>
      <w:r w:rsidR="00BC165A">
        <w:rPr>
          <w:b w:val="0"/>
          <w:snapToGrid/>
          <w:color w:val="000000" w:themeColor="text1"/>
          <w:kern w:val="2"/>
          <w:sz w:val="20"/>
          <w:lang w:val="en-US"/>
        </w:rPr>
        <w:t>from</w:t>
      </w:r>
      <w:r>
        <w:rPr>
          <w:b w:val="0"/>
          <w:snapToGrid/>
          <w:color w:val="000000" w:themeColor="text1"/>
          <w:kern w:val="2"/>
          <w:sz w:val="20"/>
          <w:lang w:val="en-US"/>
        </w:rPr>
        <w:t xml:space="preserve"> shortened TTI.</w:t>
      </w:r>
    </w:p>
    <w:p w14:paraId="751A518C" w14:textId="4DD15674" w:rsidR="00373C2B" w:rsidRPr="00373C2B" w:rsidRDefault="00373C2B" w:rsidP="00373C2B">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2: Shortened TTI support can further resolve the inefficiency issue due to the fixed TTI boundary. Small packet transmission can be </w:t>
      </w:r>
      <w:r w:rsidR="00BC165A">
        <w:rPr>
          <w:snapToGrid/>
          <w:color w:val="000000" w:themeColor="text1"/>
          <w:kern w:val="2"/>
          <w:sz w:val="20"/>
          <w:lang w:val="en-US"/>
        </w:rPr>
        <w:t>benefited from</w:t>
      </w:r>
      <w:r w:rsidRPr="00373C2B">
        <w:rPr>
          <w:snapToGrid/>
          <w:color w:val="000000" w:themeColor="text1"/>
          <w:kern w:val="2"/>
          <w:sz w:val="20"/>
          <w:lang w:val="en-US"/>
        </w:rPr>
        <w:t xml:space="preserve"> shortened TTI.  </w:t>
      </w:r>
    </w:p>
    <w:p w14:paraId="466DCE44" w14:textId="77777777" w:rsidR="00373C2B" w:rsidRDefault="0029390A" w:rsidP="00373C2B">
      <w:pPr>
        <w:pStyle w:val="LGTdoc1"/>
        <w:spacing w:beforeLines="0" w:before="240" w:after="120" w:afterAutospacing="0"/>
        <w:rPr>
          <w:b w:val="0"/>
          <w:snapToGrid/>
          <w:color w:val="000000" w:themeColor="text1"/>
          <w:kern w:val="2"/>
          <w:sz w:val="20"/>
          <w:lang w:val="en-US"/>
        </w:rPr>
      </w:pPr>
      <w:r>
        <w:rPr>
          <w:b w:val="0"/>
          <w:i/>
          <w:snapToGrid/>
          <w:color w:val="000000" w:themeColor="text1"/>
          <w:kern w:val="2"/>
          <w:sz w:val="20"/>
          <w:u w:val="single"/>
          <w:lang w:val="en-US"/>
        </w:rPr>
        <w:t>Flexible</w:t>
      </w:r>
      <w:r w:rsidRPr="006F3667">
        <w:rPr>
          <w:b w:val="0"/>
          <w:i/>
          <w:snapToGrid/>
          <w:color w:val="000000" w:themeColor="text1"/>
          <w:kern w:val="2"/>
          <w:sz w:val="20"/>
          <w:u w:val="single"/>
          <w:lang w:val="en-US"/>
        </w:rPr>
        <w:t xml:space="preserve"> TTI</w:t>
      </w:r>
      <w:r>
        <w:rPr>
          <w:b w:val="0"/>
          <w:snapToGrid/>
          <w:color w:val="000000" w:themeColor="text1"/>
          <w:kern w:val="2"/>
          <w:sz w:val="20"/>
          <w:lang w:val="en-US"/>
        </w:rPr>
        <w:t xml:space="preserve">: </w:t>
      </w:r>
    </w:p>
    <w:p w14:paraId="49FE8710" w14:textId="16456DAA" w:rsidR="002D42FD" w:rsidRDefault="0029390A" w:rsidP="00373C2B">
      <w:pPr>
        <w:pStyle w:val="LGTdoc1"/>
        <w:spacing w:beforeLines="0" w:before="240" w:after="120" w:afterAutospacing="0"/>
        <w:rPr>
          <w:b w:val="0"/>
          <w:snapToGrid/>
          <w:color w:val="000000" w:themeColor="text1"/>
          <w:kern w:val="2"/>
          <w:sz w:val="20"/>
          <w:lang w:val="en-US"/>
        </w:rPr>
      </w:pPr>
      <w:r>
        <w:rPr>
          <w:b w:val="0"/>
          <w:snapToGrid/>
          <w:color w:val="000000" w:themeColor="text1"/>
          <w:kern w:val="2"/>
          <w:sz w:val="20"/>
          <w:lang w:val="en-US"/>
        </w:rPr>
        <w:t>A flexible TTI by dynamically indicating the TTI length in the control region in the beginning of subframes can be extremely helpful for NR unlicensed operation</w:t>
      </w:r>
      <w:r w:rsidR="00991063">
        <w:rPr>
          <w:b w:val="0"/>
          <w:snapToGrid/>
          <w:color w:val="000000" w:themeColor="text1"/>
          <w:kern w:val="2"/>
          <w:sz w:val="20"/>
          <w:lang w:val="en-US"/>
        </w:rPr>
        <w:t xml:space="preserve">. </w:t>
      </w:r>
      <w:r w:rsidR="00BE37B0">
        <w:rPr>
          <w:b w:val="0"/>
          <w:snapToGrid/>
          <w:color w:val="000000" w:themeColor="text1"/>
          <w:kern w:val="2"/>
          <w:sz w:val="20"/>
          <w:lang w:val="en-US"/>
        </w:rPr>
        <w:t>This flexible TTI concept, if introduced, can tackle the inefficiency issue addressed by initial partial subframe in Release 13 LAA and the overheads with the ending partial subframe. Small packet transmission can also enjoy the flexible TTI</w:t>
      </w:r>
      <w:r w:rsidR="00BC165A">
        <w:rPr>
          <w:b w:val="0"/>
          <w:snapToGrid/>
          <w:color w:val="000000" w:themeColor="text1"/>
          <w:kern w:val="2"/>
          <w:sz w:val="20"/>
          <w:lang w:val="en-US"/>
        </w:rPr>
        <w:t xml:space="preserve"> as well</w:t>
      </w:r>
      <w:r w:rsidR="00BE37B0">
        <w:rPr>
          <w:b w:val="0"/>
          <w:snapToGrid/>
          <w:color w:val="000000" w:themeColor="text1"/>
          <w:kern w:val="2"/>
          <w:sz w:val="20"/>
          <w:lang w:val="en-US"/>
        </w:rPr>
        <w:t>. The flexible TTI concept is illustrated in the figure below, in which it can be seen that t</w:t>
      </w:r>
      <w:r w:rsidR="00991063" w:rsidRPr="00991063">
        <w:rPr>
          <w:b w:val="0"/>
          <w:snapToGrid/>
          <w:color w:val="000000" w:themeColor="text1"/>
          <w:kern w:val="2"/>
          <w:sz w:val="20"/>
          <w:lang w:val="en-US"/>
        </w:rPr>
        <w:t>he flexible TTI can be beneficial in not only shortening the TTI but also extending the TTI.</w:t>
      </w:r>
    </w:p>
    <w:p w14:paraId="44904CC0" w14:textId="77777777" w:rsidR="002D42FD" w:rsidRDefault="002D42FD" w:rsidP="004C4DF9">
      <w:pPr>
        <w:pStyle w:val="LGTdoc1"/>
        <w:spacing w:beforeLines="0" w:before="120" w:after="0" w:afterAutospacing="0"/>
        <w:rPr>
          <w:b w:val="0"/>
          <w:snapToGrid/>
          <w:color w:val="000000" w:themeColor="text1"/>
          <w:kern w:val="2"/>
          <w:sz w:val="20"/>
          <w:lang w:val="en-US"/>
        </w:rPr>
      </w:pPr>
    </w:p>
    <w:p w14:paraId="02E51951" w14:textId="3ED08230" w:rsidR="0029390A" w:rsidRDefault="002D42FD" w:rsidP="002D42FD">
      <w:pPr>
        <w:pStyle w:val="LGTdoc1"/>
        <w:spacing w:beforeLines="0" w:before="120" w:after="0" w:afterAutospacing="0"/>
        <w:jc w:val="center"/>
      </w:pPr>
      <w:r w:rsidRPr="002D42FD">
        <w:rPr>
          <w:noProof/>
          <w:lang w:val="en-US" w:eastAsia="en-US"/>
        </w:rPr>
        <w:drawing>
          <wp:inline distT="0" distB="0" distL="0" distR="0" wp14:anchorId="601F4520" wp14:editId="7F322F27">
            <wp:extent cx="3895344" cy="722376"/>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3895344" cy="722376"/>
                    </a:xfrm>
                    <a:prstGeom prst="rect">
                      <a:avLst/>
                    </a:prstGeom>
                  </pic:spPr>
                </pic:pic>
              </a:graphicData>
            </a:graphic>
          </wp:inline>
        </w:drawing>
      </w:r>
    </w:p>
    <w:p w14:paraId="7A5B9672" w14:textId="1B5FEC72" w:rsidR="002D42FD" w:rsidRPr="00E81DFA" w:rsidRDefault="002D42FD" w:rsidP="002D42FD">
      <w:pPr>
        <w:pStyle w:val="LGTdoc1"/>
        <w:spacing w:beforeLines="0" w:before="240" w:after="120" w:afterAutospacing="0"/>
        <w:jc w:val="center"/>
        <w:rPr>
          <w:snapToGrid/>
          <w:color w:val="000000" w:themeColor="text1"/>
          <w:kern w:val="2"/>
          <w:sz w:val="20"/>
          <w:lang w:val="en-US"/>
        </w:rPr>
      </w:pPr>
      <w:r w:rsidRPr="00AD2447">
        <w:rPr>
          <w:snapToGrid/>
          <w:color w:val="000000" w:themeColor="text1"/>
          <w:kern w:val="2"/>
          <w:sz w:val="20"/>
          <w:lang w:val="en-US"/>
        </w:rPr>
        <w:t xml:space="preserve">Figure </w:t>
      </w:r>
      <w:r>
        <w:rPr>
          <w:snapToGrid/>
          <w:color w:val="000000" w:themeColor="text1"/>
          <w:kern w:val="2"/>
          <w:sz w:val="20"/>
          <w:lang w:val="en-US"/>
        </w:rPr>
        <w:t>5</w:t>
      </w:r>
      <w:r w:rsidRPr="00AD2447">
        <w:rPr>
          <w:snapToGrid/>
          <w:color w:val="000000" w:themeColor="text1"/>
          <w:kern w:val="2"/>
          <w:sz w:val="20"/>
          <w:lang w:val="en-US"/>
        </w:rPr>
        <w:t xml:space="preserve">. </w:t>
      </w:r>
      <w:r>
        <w:rPr>
          <w:snapToGrid/>
          <w:color w:val="000000" w:themeColor="text1"/>
          <w:kern w:val="2"/>
          <w:sz w:val="20"/>
          <w:lang w:val="en-US"/>
        </w:rPr>
        <w:t>Illustration of overall flexible TTI operation</w:t>
      </w:r>
    </w:p>
    <w:p w14:paraId="23E927B9" w14:textId="77777777" w:rsidR="0029390A" w:rsidRPr="00991063" w:rsidRDefault="0029390A" w:rsidP="004C4DF9">
      <w:pPr>
        <w:pStyle w:val="LGTdoc1"/>
        <w:spacing w:beforeLines="0" w:before="120" w:after="0" w:afterAutospacing="0"/>
        <w:rPr>
          <w:b w:val="0"/>
          <w:snapToGrid/>
          <w:color w:val="000000" w:themeColor="text1"/>
          <w:kern w:val="2"/>
          <w:sz w:val="20"/>
          <w:lang w:val="en-US"/>
        </w:rPr>
      </w:pPr>
    </w:p>
    <w:p w14:paraId="68C608F6" w14:textId="53C49C44" w:rsidR="00CF3817" w:rsidRPr="00991063" w:rsidRDefault="00991063" w:rsidP="004C4DF9">
      <w:pPr>
        <w:pStyle w:val="LGTdoc1"/>
        <w:spacing w:beforeLines="0" w:before="120" w:after="0" w:afterAutospacing="0"/>
        <w:rPr>
          <w:b w:val="0"/>
          <w:snapToGrid/>
          <w:color w:val="000000" w:themeColor="text1"/>
          <w:kern w:val="2"/>
          <w:sz w:val="20"/>
          <w:lang w:val="en-US"/>
        </w:rPr>
      </w:pPr>
      <w:r w:rsidRPr="00991063">
        <w:rPr>
          <w:b w:val="0"/>
          <w:snapToGrid/>
          <w:color w:val="000000" w:themeColor="text1"/>
          <w:kern w:val="2"/>
          <w:sz w:val="20"/>
          <w:lang w:val="en-US"/>
        </w:rPr>
        <w:t xml:space="preserve">With the flexible TTI, after the indicated duration of the current TTI, the UE will monitor for new PDCCH to be transmitted in sequel. When </w:t>
      </w:r>
      <w:r w:rsidR="00BE37B0">
        <w:rPr>
          <w:b w:val="0"/>
          <w:snapToGrid/>
          <w:color w:val="000000" w:themeColor="text1"/>
          <w:kern w:val="2"/>
          <w:sz w:val="20"/>
          <w:lang w:val="en-US"/>
        </w:rPr>
        <w:t>transmissions occur</w:t>
      </w:r>
      <w:r w:rsidRPr="00991063">
        <w:rPr>
          <w:b w:val="0"/>
          <w:snapToGrid/>
          <w:color w:val="000000" w:themeColor="text1"/>
          <w:kern w:val="2"/>
          <w:sz w:val="20"/>
          <w:lang w:val="en-US"/>
        </w:rPr>
        <w:t xml:space="preserve"> intermittently, the flexible TTI can be also used to indicate the IDLE time o</w:t>
      </w:r>
      <w:r w:rsidR="00BE37B0">
        <w:rPr>
          <w:b w:val="0"/>
          <w:snapToGrid/>
          <w:color w:val="000000" w:themeColor="text1"/>
          <w:kern w:val="2"/>
          <w:sz w:val="20"/>
          <w:lang w:val="en-US"/>
        </w:rPr>
        <w:t>ver which no data transmission is expected</w:t>
      </w:r>
      <w:r w:rsidRPr="00991063">
        <w:rPr>
          <w:b w:val="0"/>
          <w:snapToGrid/>
          <w:color w:val="000000" w:themeColor="text1"/>
          <w:kern w:val="2"/>
          <w:sz w:val="20"/>
          <w:lang w:val="en-US"/>
        </w:rPr>
        <w:t>.</w:t>
      </w:r>
      <w:r w:rsidR="00BE37B0">
        <w:rPr>
          <w:b w:val="0"/>
          <w:snapToGrid/>
          <w:color w:val="000000" w:themeColor="text1"/>
          <w:kern w:val="2"/>
          <w:sz w:val="20"/>
          <w:lang w:val="en-US"/>
        </w:rPr>
        <w:t xml:space="preserve"> </w:t>
      </w:r>
      <w:r w:rsidR="00CF3817" w:rsidRPr="00CF3817">
        <w:rPr>
          <w:b w:val="0"/>
          <w:snapToGrid/>
          <w:color w:val="000000" w:themeColor="text1"/>
          <w:kern w:val="2"/>
          <w:sz w:val="20"/>
          <w:lang w:val="en-US"/>
        </w:rPr>
        <w:t>The flexible TTI can be also beneficial for extending the TTI.</w:t>
      </w:r>
      <w:r w:rsidR="00CF3817">
        <w:rPr>
          <w:b w:val="0"/>
          <w:snapToGrid/>
          <w:color w:val="000000" w:themeColor="text1"/>
          <w:kern w:val="2"/>
          <w:sz w:val="20"/>
          <w:lang w:val="en-US"/>
        </w:rPr>
        <w:t xml:space="preserve"> For instance, the downlink ending partial subframe in LAA following the preceding full subframe </w:t>
      </w:r>
      <w:r w:rsidR="00CF3817" w:rsidRPr="00CF3817">
        <w:rPr>
          <w:b w:val="0"/>
          <w:snapToGrid/>
          <w:color w:val="000000" w:themeColor="text1"/>
          <w:kern w:val="2"/>
          <w:sz w:val="20"/>
          <w:lang w:val="en-US"/>
        </w:rPr>
        <w:t>can be scheduled by one control channel with the indication of the length of</w:t>
      </w:r>
      <w:r w:rsidR="00E67574">
        <w:rPr>
          <w:b w:val="0"/>
          <w:snapToGrid/>
          <w:color w:val="000000" w:themeColor="text1"/>
          <w:kern w:val="2"/>
          <w:sz w:val="20"/>
          <w:lang w:val="en-US"/>
        </w:rPr>
        <w:t xml:space="preserve"> the aggregated</w:t>
      </w:r>
      <w:r w:rsidR="00CF3817" w:rsidRPr="00CF3817">
        <w:rPr>
          <w:b w:val="0"/>
          <w:snapToGrid/>
          <w:color w:val="000000" w:themeColor="text1"/>
          <w:kern w:val="2"/>
          <w:sz w:val="20"/>
          <w:lang w:val="en-US"/>
        </w:rPr>
        <w:t xml:space="preserve"> TTI</w:t>
      </w:r>
      <w:r w:rsidR="00CF3817">
        <w:rPr>
          <w:b w:val="0"/>
          <w:snapToGrid/>
          <w:color w:val="000000" w:themeColor="text1"/>
          <w:kern w:val="2"/>
          <w:sz w:val="20"/>
          <w:lang w:val="en-US"/>
        </w:rPr>
        <w:t>.</w:t>
      </w:r>
    </w:p>
    <w:p w14:paraId="6B089493" w14:textId="45FDA471" w:rsidR="0029390A" w:rsidRDefault="00E67574" w:rsidP="004C4DF9">
      <w:pPr>
        <w:pStyle w:val="LGTdoc1"/>
        <w:spacing w:beforeLines="0" w:before="120" w:after="0" w:afterAutospacing="0"/>
        <w:rPr>
          <w:b w:val="0"/>
          <w:snapToGrid/>
          <w:color w:val="000000" w:themeColor="text1"/>
          <w:kern w:val="2"/>
          <w:sz w:val="20"/>
          <w:lang w:val="en-US"/>
        </w:rPr>
      </w:pPr>
      <w:r w:rsidRPr="00E67574">
        <w:rPr>
          <w:b w:val="0"/>
          <w:snapToGrid/>
          <w:color w:val="000000" w:themeColor="text1"/>
          <w:kern w:val="2"/>
          <w:sz w:val="20"/>
          <w:lang w:val="en-US"/>
        </w:rPr>
        <w:t>One advantage of indicating the TTI length in the PDCCH is that a UE who is not scheduled for the corresponding TTI can sleep and, thereby, save energy. The longer the TTI the better in terms of energy saving perspective.</w:t>
      </w:r>
    </w:p>
    <w:p w14:paraId="4338BABF" w14:textId="333A6822" w:rsidR="0029390A" w:rsidRPr="00667E78" w:rsidRDefault="00667E78" w:rsidP="00667E78">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3</w:t>
      </w:r>
      <w:r w:rsidRPr="00373C2B">
        <w:rPr>
          <w:snapToGrid/>
          <w:color w:val="000000" w:themeColor="text1"/>
          <w:kern w:val="2"/>
          <w:sz w:val="20"/>
          <w:lang w:val="en-US"/>
        </w:rPr>
        <w:t xml:space="preserve">: </w:t>
      </w:r>
      <w:r w:rsidR="000E5884">
        <w:rPr>
          <w:snapToGrid/>
          <w:color w:val="000000" w:themeColor="text1"/>
          <w:kern w:val="2"/>
          <w:sz w:val="20"/>
          <w:lang w:val="en-US"/>
        </w:rPr>
        <w:t>F</w:t>
      </w:r>
      <w:r>
        <w:rPr>
          <w:snapToGrid/>
          <w:color w:val="000000" w:themeColor="text1"/>
          <w:kern w:val="2"/>
          <w:sz w:val="20"/>
          <w:lang w:val="en-US"/>
        </w:rPr>
        <w:t xml:space="preserve">lexible TTI support can be useful for NR operation in unlicensed spectrum, which can </w:t>
      </w:r>
      <w:r w:rsidR="000E5884">
        <w:rPr>
          <w:snapToGrid/>
          <w:color w:val="000000" w:themeColor="text1"/>
          <w:kern w:val="2"/>
          <w:sz w:val="20"/>
          <w:lang w:val="en-US"/>
        </w:rPr>
        <w:t>be used for not only shortening the TTI but also extending the TTI</w:t>
      </w:r>
      <w:r w:rsidR="00443632">
        <w:rPr>
          <w:snapToGrid/>
          <w:color w:val="000000" w:themeColor="text1"/>
          <w:kern w:val="2"/>
          <w:sz w:val="20"/>
          <w:lang w:val="en-US"/>
        </w:rPr>
        <w:t xml:space="preserve"> in a dynamic manner</w:t>
      </w:r>
      <w:r w:rsidR="000E5884">
        <w:rPr>
          <w:snapToGrid/>
          <w:color w:val="000000" w:themeColor="text1"/>
          <w:kern w:val="2"/>
          <w:sz w:val="20"/>
          <w:lang w:val="en-US"/>
        </w:rPr>
        <w:t xml:space="preserve">. </w:t>
      </w:r>
      <w:r>
        <w:rPr>
          <w:snapToGrid/>
          <w:color w:val="000000" w:themeColor="text1"/>
          <w:kern w:val="2"/>
          <w:sz w:val="20"/>
          <w:lang w:val="en-US"/>
        </w:rPr>
        <w:t xml:space="preserve"> </w:t>
      </w:r>
    </w:p>
    <w:p w14:paraId="7261083A" w14:textId="46F634E4" w:rsidR="0029390A" w:rsidRDefault="00984F02" w:rsidP="004C4DF9">
      <w:pPr>
        <w:pStyle w:val="LGTdoc1"/>
        <w:spacing w:beforeLines="0" w:before="120" w:after="0" w:afterAutospacing="0"/>
        <w:rPr>
          <w:b w:val="0"/>
          <w:snapToGrid/>
          <w:color w:val="000000" w:themeColor="text1"/>
          <w:kern w:val="2"/>
          <w:sz w:val="20"/>
          <w:lang w:val="en-US"/>
        </w:rPr>
      </w:pPr>
      <w:r w:rsidRPr="00984F02">
        <w:rPr>
          <w:b w:val="0"/>
          <w:i/>
          <w:snapToGrid/>
          <w:color w:val="000000" w:themeColor="text1"/>
          <w:kern w:val="2"/>
          <w:sz w:val="20"/>
          <w:u w:val="single"/>
          <w:lang w:val="en-US"/>
        </w:rPr>
        <w:t>Bandwidth scalable physical channel design</w:t>
      </w:r>
      <w:r>
        <w:rPr>
          <w:b w:val="0"/>
          <w:snapToGrid/>
          <w:color w:val="000000" w:themeColor="text1"/>
          <w:kern w:val="2"/>
          <w:sz w:val="20"/>
          <w:lang w:val="en-US"/>
        </w:rPr>
        <w:t>:</w:t>
      </w:r>
    </w:p>
    <w:p w14:paraId="1E3468F3" w14:textId="51B477B4" w:rsidR="005D779A" w:rsidRDefault="00984F02"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We have seen in the previous subsection that the OCB regulation by ETSI required additional efforts to redesign most of the uplink physical channels for eLAA. </w:t>
      </w:r>
      <w:r w:rsidR="00E50CBD">
        <w:rPr>
          <w:b w:val="0"/>
          <w:snapToGrid/>
          <w:color w:val="000000" w:themeColor="text1"/>
          <w:kern w:val="2"/>
          <w:sz w:val="20"/>
          <w:lang w:val="en-US"/>
        </w:rPr>
        <w:t>The issue concerns with the uplink ph</w:t>
      </w:r>
      <w:r w:rsidR="00C62AE5">
        <w:rPr>
          <w:b w:val="0"/>
          <w:snapToGrid/>
          <w:color w:val="000000" w:themeColor="text1"/>
          <w:kern w:val="2"/>
          <w:sz w:val="20"/>
          <w:lang w:val="en-US"/>
        </w:rPr>
        <w:t xml:space="preserve">ysical channel design due to UE multiplexing. </w:t>
      </w:r>
      <w:r w:rsidR="006710E7">
        <w:rPr>
          <w:b w:val="0"/>
          <w:snapToGrid/>
          <w:color w:val="000000" w:themeColor="text1"/>
          <w:kern w:val="2"/>
          <w:sz w:val="20"/>
          <w:lang w:val="en-US"/>
        </w:rPr>
        <w:t xml:space="preserve">We note however that narrow band design for some uplink physical channels, such as PUCCH, PRACH, can be useful for coverage perspective. </w:t>
      </w:r>
      <w:r w:rsidR="00C62AE5">
        <w:rPr>
          <w:b w:val="0"/>
          <w:snapToGrid/>
          <w:color w:val="000000" w:themeColor="text1"/>
          <w:kern w:val="2"/>
          <w:sz w:val="20"/>
          <w:lang w:val="en-US"/>
        </w:rPr>
        <w:t>Therefore, NR uplink physical channel design</w:t>
      </w:r>
      <w:r w:rsidR="006710E7">
        <w:rPr>
          <w:b w:val="0"/>
          <w:snapToGrid/>
          <w:color w:val="000000" w:themeColor="text1"/>
          <w:kern w:val="2"/>
          <w:sz w:val="20"/>
          <w:lang w:val="en-US"/>
        </w:rPr>
        <w:t>s</w:t>
      </w:r>
      <w:r w:rsidR="00C62AE5">
        <w:rPr>
          <w:b w:val="0"/>
          <w:snapToGrid/>
          <w:color w:val="000000" w:themeColor="text1"/>
          <w:kern w:val="2"/>
          <w:sz w:val="20"/>
          <w:lang w:val="en-US"/>
        </w:rPr>
        <w:t xml:space="preserve"> that can </w:t>
      </w:r>
      <w:r w:rsidR="003438B0">
        <w:rPr>
          <w:b w:val="0"/>
          <w:snapToGrid/>
          <w:color w:val="000000" w:themeColor="text1"/>
          <w:kern w:val="2"/>
          <w:sz w:val="20"/>
          <w:lang w:val="en-US"/>
        </w:rPr>
        <w:t xml:space="preserve">not only </w:t>
      </w:r>
      <w:r w:rsidR="00C62AE5">
        <w:rPr>
          <w:b w:val="0"/>
          <w:snapToGrid/>
          <w:color w:val="000000" w:themeColor="text1"/>
          <w:kern w:val="2"/>
          <w:sz w:val="20"/>
          <w:lang w:val="en-US"/>
        </w:rPr>
        <w:t>work for narrow bandwidth but also</w:t>
      </w:r>
      <w:r w:rsidR="006710E7">
        <w:rPr>
          <w:b w:val="0"/>
          <w:snapToGrid/>
          <w:color w:val="000000" w:themeColor="text1"/>
          <w:kern w:val="2"/>
          <w:sz w:val="20"/>
          <w:lang w:val="en-US"/>
        </w:rPr>
        <w:t xml:space="preserve"> naturally extend</w:t>
      </w:r>
      <w:r w:rsidR="00C62AE5">
        <w:rPr>
          <w:b w:val="0"/>
          <w:snapToGrid/>
          <w:color w:val="000000" w:themeColor="text1"/>
          <w:kern w:val="2"/>
          <w:sz w:val="20"/>
          <w:lang w:val="en-US"/>
        </w:rPr>
        <w:t xml:space="preserve"> for wide bandwidth </w:t>
      </w:r>
      <w:r w:rsidR="003438B0">
        <w:rPr>
          <w:b w:val="0"/>
          <w:snapToGrid/>
          <w:color w:val="000000" w:themeColor="text1"/>
          <w:kern w:val="2"/>
          <w:sz w:val="20"/>
          <w:lang w:val="en-US"/>
        </w:rPr>
        <w:t>operation shall be</w:t>
      </w:r>
      <w:r w:rsidR="00C62AE5">
        <w:rPr>
          <w:b w:val="0"/>
          <w:snapToGrid/>
          <w:color w:val="000000" w:themeColor="text1"/>
          <w:kern w:val="2"/>
          <w:sz w:val="20"/>
          <w:lang w:val="en-US"/>
        </w:rPr>
        <w:t xml:space="preserve"> extremely helpful for NR operation especially in 5 GHz spectrum and, thereby, to avoid the situa</w:t>
      </w:r>
      <w:r w:rsidR="005D779A">
        <w:rPr>
          <w:b w:val="0"/>
          <w:snapToGrid/>
          <w:color w:val="000000" w:themeColor="text1"/>
          <w:kern w:val="2"/>
          <w:sz w:val="20"/>
          <w:lang w:val="en-US"/>
        </w:rPr>
        <w:t xml:space="preserve">tion in Release 14 eLAA. </w:t>
      </w:r>
    </w:p>
    <w:p w14:paraId="4A1CA22B" w14:textId="65AC9530" w:rsidR="005D779A" w:rsidRPr="005D779A" w:rsidRDefault="005D779A" w:rsidP="005D779A">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4</w:t>
      </w:r>
      <w:r w:rsidRPr="00373C2B">
        <w:rPr>
          <w:snapToGrid/>
          <w:color w:val="000000" w:themeColor="text1"/>
          <w:kern w:val="2"/>
          <w:sz w:val="20"/>
          <w:lang w:val="en-US"/>
        </w:rPr>
        <w:t xml:space="preserve">: </w:t>
      </w:r>
      <w:r w:rsidRPr="005D779A">
        <w:rPr>
          <w:snapToGrid/>
          <w:color w:val="000000" w:themeColor="text1"/>
          <w:kern w:val="2"/>
          <w:sz w:val="20"/>
          <w:lang w:val="en-US"/>
        </w:rPr>
        <w:t>NR uplink physical channel designs that can not only</w:t>
      </w:r>
      <w:r w:rsidR="003438B0">
        <w:rPr>
          <w:snapToGrid/>
          <w:color w:val="000000" w:themeColor="text1"/>
          <w:kern w:val="2"/>
          <w:sz w:val="20"/>
          <w:lang w:val="en-US"/>
        </w:rPr>
        <w:t xml:space="preserve"> work</w:t>
      </w:r>
      <w:r w:rsidRPr="005D779A">
        <w:rPr>
          <w:snapToGrid/>
          <w:color w:val="000000" w:themeColor="text1"/>
          <w:kern w:val="2"/>
          <w:sz w:val="20"/>
          <w:lang w:val="en-US"/>
        </w:rPr>
        <w:t xml:space="preserve"> for narrow bandwidth but also naturally extend </w:t>
      </w:r>
      <w:r w:rsidR="00BC165A">
        <w:rPr>
          <w:snapToGrid/>
          <w:color w:val="000000" w:themeColor="text1"/>
          <w:kern w:val="2"/>
          <w:sz w:val="20"/>
          <w:lang w:val="en-US"/>
        </w:rPr>
        <w:t>for</w:t>
      </w:r>
      <w:r w:rsidRPr="005D779A">
        <w:rPr>
          <w:snapToGrid/>
          <w:color w:val="000000" w:themeColor="text1"/>
          <w:kern w:val="2"/>
          <w:sz w:val="20"/>
          <w:lang w:val="en-US"/>
        </w:rPr>
        <w:t xml:space="preserve"> wide bandwidth</w:t>
      </w:r>
      <w:r w:rsidR="00BC165A">
        <w:rPr>
          <w:snapToGrid/>
          <w:color w:val="000000" w:themeColor="text1"/>
          <w:kern w:val="2"/>
          <w:sz w:val="20"/>
          <w:lang w:val="en-US"/>
        </w:rPr>
        <w:t xml:space="preserve"> operation</w:t>
      </w:r>
      <w:r w:rsidRPr="005D779A">
        <w:rPr>
          <w:snapToGrid/>
          <w:color w:val="000000" w:themeColor="text1"/>
          <w:kern w:val="2"/>
          <w:sz w:val="20"/>
          <w:lang w:val="en-US"/>
        </w:rPr>
        <w:t xml:space="preserve"> </w:t>
      </w:r>
      <w:r w:rsidR="003438B0">
        <w:rPr>
          <w:snapToGrid/>
          <w:color w:val="000000" w:themeColor="text1"/>
          <w:kern w:val="2"/>
          <w:sz w:val="20"/>
          <w:lang w:val="en-US"/>
        </w:rPr>
        <w:t>shall</w:t>
      </w:r>
      <w:r w:rsidRPr="005D779A">
        <w:rPr>
          <w:snapToGrid/>
          <w:color w:val="000000" w:themeColor="text1"/>
          <w:kern w:val="2"/>
          <w:sz w:val="20"/>
          <w:lang w:val="en-US"/>
        </w:rPr>
        <w:t xml:space="preserve"> be</w:t>
      </w:r>
      <w:r>
        <w:rPr>
          <w:snapToGrid/>
          <w:color w:val="000000" w:themeColor="text1"/>
          <w:kern w:val="2"/>
          <w:sz w:val="20"/>
          <w:lang w:val="en-US"/>
        </w:rPr>
        <w:t xml:space="preserve"> helpful for NR to meet the Occupied Channel Bandwidth regulation by EU on 5 GHz band. </w:t>
      </w:r>
    </w:p>
    <w:p w14:paraId="0E50A5D2" w14:textId="56A23221" w:rsidR="00984F02" w:rsidRDefault="00CC2866" w:rsidP="004C4DF9">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lastRenderedPageBreak/>
        <w:t>We would like to note one aspect on the above suggestion that the regulation itself is</w:t>
      </w:r>
      <w:r w:rsidR="0078451E">
        <w:rPr>
          <w:b w:val="0"/>
          <w:snapToGrid/>
          <w:color w:val="000000" w:themeColor="text1"/>
          <w:kern w:val="2"/>
          <w:sz w:val="20"/>
          <w:lang w:val="en-US"/>
        </w:rPr>
        <w:t xml:space="preserve"> also</w:t>
      </w:r>
      <w:r>
        <w:rPr>
          <w:b w:val="0"/>
          <w:snapToGrid/>
          <w:color w:val="000000" w:themeColor="text1"/>
          <w:kern w:val="2"/>
          <w:sz w:val="20"/>
          <w:lang w:val="en-US"/>
        </w:rPr>
        <w:t xml:space="preserve"> continuously evolving and updated. Thus, by the time when 3GPP considers the NR operation in unlicensed band, the regulatory requirements can be different from the current ones. </w:t>
      </w:r>
    </w:p>
    <w:p w14:paraId="2D191C9A" w14:textId="2769F827" w:rsidR="00EB10CB" w:rsidRPr="00FC7BBB" w:rsidRDefault="000A2CA8"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 xml:space="preserve">Other </w:t>
      </w:r>
      <w:r w:rsidR="0078451E">
        <w:rPr>
          <w:rFonts w:ascii="Arial" w:hAnsi="Arial" w:cs="Arial"/>
          <w:b/>
          <w:snapToGrid w:val="0"/>
          <w:kern w:val="0"/>
          <w:sz w:val="28"/>
          <w:szCs w:val="20"/>
          <w:lang w:val="en-US"/>
        </w:rPr>
        <w:t xml:space="preserve">potential </w:t>
      </w:r>
      <w:r>
        <w:rPr>
          <w:rFonts w:ascii="Arial" w:hAnsi="Arial" w:cs="Arial"/>
          <w:b/>
          <w:snapToGrid w:val="0"/>
          <w:kern w:val="0"/>
          <w:sz w:val="28"/>
          <w:szCs w:val="20"/>
          <w:lang w:val="en-US"/>
        </w:rPr>
        <w:t>unlicensed spectrum</w:t>
      </w:r>
      <w:r w:rsidR="00C3180D">
        <w:rPr>
          <w:rFonts w:ascii="Arial" w:hAnsi="Arial" w:cs="Arial"/>
          <w:b/>
          <w:snapToGrid w:val="0"/>
          <w:kern w:val="0"/>
          <w:sz w:val="28"/>
          <w:szCs w:val="20"/>
          <w:lang w:val="en-US"/>
        </w:rPr>
        <w:t xml:space="preserve"> for NR operation</w:t>
      </w:r>
    </w:p>
    <w:p w14:paraId="69177306" w14:textId="1F09CC56" w:rsidR="00AC71C3" w:rsidRDefault="00027345" w:rsidP="00760726">
      <w:pPr>
        <w:pStyle w:val="LGTdoc"/>
        <w:spacing w:before="120" w:afterLines="0" w:line="240" w:lineRule="auto"/>
        <w:rPr>
          <w:sz w:val="20"/>
          <w:szCs w:val="20"/>
          <w:lang w:val="en-US"/>
        </w:rPr>
      </w:pPr>
      <w:r w:rsidRPr="00FC7BBB">
        <w:rPr>
          <w:sz w:val="20"/>
          <w:szCs w:val="20"/>
          <w:lang w:val="en-US"/>
        </w:rPr>
        <w:t>In this</w:t>
      </w:r>
      <w:r w:rsidR="000A2CA8">
        <w:rPr>
          <w:sz w:val="20"/>
          <w:szCs w:val="20"/>
          <w:lang w:val="en-US"/>
        </w:rPr>
        <w:t xml:space="preserve"> section, we </w:t>
      </w:r>
      <w:r w:rsidR="003946FC">
        <w:rPr>
          <w:sz w:val="20"/>
          <w:szCs w:val="20"/>
          <w:lang w:val="en-US"/>
        </w:rPr>
        <w:t>investigate</w:t>
      </w:r>
      <w:r w:rsidR="000A2CA8">
        <w:rPr>
          <w:sz w:val="20"/>
          <w:szCs w:val="20"/>
          <w:lang w:val="en-US"/>
        </w:rPr>
        <w:t xml:space="preserve"> other unlicensed bands that can</w:t>
      </w:r>
      <w:r w:rsidR="003946FC">
        <w:rPr>
          <w:sz w:val="20"/>
          <w:szCs w:val="20"/>
          <w:lang w:val="en-US"/>
        </w:rPr>
        <w:t xml:space="preserve"> be also</w:t>
      </w:r>
      <w:r w:rsidR="000A2CA8">
        <w:rPr>
          <w:sz w:val="20"/>
          <w:szCs w:val="20"/>
          <w:lang w:val="en-US"/>
        </w:rPr>
        <w:t xml:space="preserve"> considered for potential NR operation and draw suggestions on forward compatibility considerations</w:t>
      </w:r>
      <w:r w:rsidR="003946FC">
        <w:rPr>
          <w:sz w:val="20"/>
          <w:szCs w:val="20"/>
          <w:lang w:val="en-US"/>
        </w:rPr>
        <w:t xml:space="preserve"> for NR design.</w:t>
      </w:r>
      <w:r w:rsidR="0078451E">
        <w:rPr>
          <w:sz w:val="20"/>
          <w:szCs w:val="20"/>
          <w:lang w:val="en-US"/>
        </w:rPr>
        <w:t xml:space="preserve"> Note that other unlicensed bands, such as sub-1 GHz, 2.4 GHz unlicensed spectrum, </w:t>
      </w:r>
      <w:r w:rsidR="00AC71C3">
        <w:rPr>
          <w:sz w:val="20"/>
          <w:szCs w:val="20"/>
          <w:lang w:val="en-US"/>
        </w:rPr>
        <w:t>can be also potentially considered for NR operation although they are not dealt in this paper.</w:t>
      </w:r>
    </w:p>
    <w:p w14:paraId="01A49245" w14:textId="29E1A544" w:rsidR="000A2CA8" w:rsidRPr="00741A24" w:rsidRDefault="000A2CA8" w:rsidP="000A2CA8">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60 GHz mmWave unlicensed band </w:t>
      </w:r>
    </w:p>
    <w:p w14:paraId="362BD168" w14:textId="0013F249" w:rsidR="00741A24" w:rsidRPr="00741A24" w:rsidRDefault="00741A24" w:rsidP="00741A24">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w:t>
      </w:r>
      <w:r w:rsidR="00CD2D49">
        <w:rPr>
          <w:b w:val="0"/>
          <w:snapToGrid/>
          <w:color w:val="000000" w:themeColor="text1"/>
          <w:kern w:val="2"/>
          <w:sz w:val="20"/>
          <w:lang w:val="en-US"/>
        </w:rPr>
        <w:t xml:space="preserve"> 60 GHz</w:t>
      </w:r>
      <w:r>
        <w:rPr>
          <w:b w:val="0"/>
          <w:snapToGrid/>
          <w:color w:val="000000" w:themeColor="text1"/>
          <w:kern w:val="2"/>
          <w:sz w:val="20"/>
          <w:lang w:val="en-US"/>
        </w:rPr>
        <w:t xml:space="preserve"> </w:t>
      </w:r>
      <w:r w:rsidR="003438B0">
        <w:rPr>
          <w:b w:val="0"/>
          <w:snapToGrid/>
          <w:color w:val="000000" w:themeColor="text1"/>
          <w:kern w:val="2"/>
          <w:sz w:val="20"/>
          <w:lang w:val="en-US"/>
        </w:rPr>
        <w:t xml:space="preserve">unlicensed spectrum is the band where the </w:t>
      </w:r>
      <w:r>
        <w:rPr>
          <w:b w:val="0"/>
          <w:snapToGrid/>
          <w:color w:val="000000" w:themeColor="text1"/>
          <w:kern w:val="2"/>
          <w:sz w:val="20"/>
          <w:lang w:val="en-US"/>
        </w:rPr>
        <w:t>WiGig technology</w:t>
      </w:r>
      <w:r w:rsidR="003438B0">
        <w:rPr>
          <w:b w:val="0"/>
          <w:snapToGrid/>
          <w:color w:val="000000" w:themeColor="text1"/>
          <w:kern w:val="2"/>
          <w:sz w:val="20"/>
          <w:lang w:val="en-US"/>
        </w:rPr>
        <w:t xml:space="preserve"> operates. WiGig is</w:t>
      </w:r>
      <w:r>
        <w:rPr>
          <w:b w:val="0"/>
          <w:snapToGrid/>
          <w:color w:val="000000" w:themeColor="text1"/>
          <w:kern w:val="2"/>
          <w:sz w:val="20"/>
          <w:lang w:val="en-US"/>
        </w:rPr>
        <w:t xml:space="preserve"> based on IEEE 802.11ad standards</w:t>
      </w:r>
      <w:r w:rsidR="00CD2D49">
        <w:rPr>
          <w:b w:val="0"/>
          <w:snapToGrid/>
          <w:color w:val="000000" w:themeColor="text1"/>
          <w:kern w:val="2"/>
          <w:sz w:val="20"/>
          <w:lang w:val="en-US"/>
        </w:rPr>
        <w:t xml:space="preserve"> [3]</w:t>
      </w:r>
      <w:r>
        <w:rPr>
          <w:b w:val="0"/>
          <w:snapToGrid/>
          <w:color w:val="000000" w:themeColor="text1"/>
          <w:kern w:val="2"/>
          <w:sz w:val="20"/>
          <w:lang w:val="en-US"/>
        </w:rPr>
        <w:t>.</w:t>
      </w:r>
    </w:p>
    <w:p w14:paraId="134C7925" w14:textId="03B5DFE8" w:rsidR="000A2CA8" w:rsidRPr="002A1161" w:rsidRDefault="000A2CA8" w:rsidP="000A2CA8">
      <w:pPr>
        <w:pStyle w:val="LGTdoc1"/>
        <w:numPr>
          <w:ilvl w:val="2"/>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Spectrum overview </w:t>
      </w:r>
    </w:p>
    <w:p w14:paraId="1A018A44" w14:textId="3EB00A18" w:rsidR="00A25621" w:rsidRDefault="00A239B3" w:rsidP="00C0438A">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The 60 GHz unlicensed spectrum</w:t>
      </w:r>
      <w:r w:rsidR="00F2312B">
        <w:rPr>
          <w:b w:val="0"/>
          <w:snapToGrid/>
          <w:color w:val="000000" w:themeColor="text1"/>
          <w:kern w:val="2"/>
          <w:sz w:val="20"/>
          <w:lang w:val="en-US"/>
        </w:rPr>
        <w:t xml:space="preserve"> </w:t>
      </w:r>
      <w:r>
        <w:rPr>
          <w:b w:val="0"/>
          <w:snapToGrid/>
          <w:color w:val="000000" w:themeColor="text1"/>
          <w:kern w:val="2"/>
          <w:sz w:val="20"/>
          <w:lang w:val="en-US"/>
        </w:rPr>
        <w:t>global availability includes key geographies including U.S. and Canada (57.</w:t>
      </w:r>
      <w:r w:rsidR="00E162E7">
        <w:rPr>
          <w:b w:val="0"/>
          <w:snapToGrid/>
          <w:color w:val="000000" w:themeColor="text1"/>
          <w:kern w:val="2"/>
          <w:sz w:val="20"/>
          <w:lang w:val="en-US"/>
        </w:rPr>
        <w:t>05 GHz – 64 GHz</w:t>
      </w:r>
      <w:r>
        <w:rPr>
          <w:b w:val="0"/>
          <w:snapToGrid/>
          <w:color w:val="000000" w:themeColor="text1"/>
          <w:kern w:val="2"/>
          <w:sz w:val="20"/>
          <w:lang w:val="en-US"/>
        </w:rPr>
        <w:t>), EU</w:t>
      </w:r>
      <w:r w:rsidR="00E162E7">
        <w:rPr>
          <w:b w:val="0"/>
          <w:snapToGrid/>
          <w:color w:val="000000" w:themeColor="text1"/>
          <w:kern w:val="2"/>
          <w:sz w:val="20"/>
          <w:lang w:val="en-US"/>
        </w:rPr>
        <w:t xml:space="preserve"> (</w:t>
      </w:r>
      <w:r w:rsidR="000E0693">
        <w:rPr>
          <w:b w:val="0"/>
          <w:snapToGrid/>
          <w:color w:val="000000" w:themeColor="text1"/>
          <w:kern w:val="2"/>
          <w:sz w:val="20"/>
          <w:lang w:val="en-US"/>
        </w:rPr>
        <w:t>57 GHz – 66 GHz</w:t>
      </w:r>
      <w:r w:rsidR="00E162E7">
        <w:rPr>
          <w:b w:val="0"/>
          <w:snapToGrid/>
          <w:color w:val="000000" w:themeColor="text1"/>
          <w:kern w:val="2"/>
          <w:sz w:val="20"/>
          <w:lang w:val="en-US"/>
        </w:rPr>
        <w:t>)</w:t>
      </w:r>
      <w:r>
        <w:rPr>
          <w:b w:val="0"/>
          <w:snapToGrid/>
          <w:color w:val="000000" w:themeColor="text1"/>
          <w:kern w:val="2"/>
          <w:sz w:val="20"/>
          <w:lang w:val="en-US"/>
        </w:rPr>
        <w:t>, Japan</w:t>
      </w:r>
      <w:r w:rsidR="000E0693">
        <w:rPr>
          <w:b w:val="0"/>
          <w:snapToGrid/>
          <w:color w:val="000000" w:themeColor="text1"/>
          <w:kern w:val="2"/>
          <w:sz w:val="20"/>
          <w:lang w:val="en-US"/>
        </w:rPr>
        <w:t xml:space="preserve"> (57 GHz – 66 GHz)</w:t>
      </w:r>
      <w:r>
        <w:rPr>
          <w:b w:val="0"/>
          <w:snapToGrid/>
          <w:color w:val="000000" w:themeColor="text1"/>
          <w:kern w:val="2"/>
          <w:sz w:val="20"/>
          <w:lang w:val="en-US"/>
        </w:rPr>
        <w:t>, China</w:t>
      </w:r>
      <w:r w:rsidR="000E0693">
        <w:rPr>
          <w:b w:val="0"/>
          <w:snapToGrid/>
          <w:color w:val="000000" w:themeColor="text1"/>
          <w:kern w:val="2"/>
          <w:sz w:val="20"/>
          <w:lang w:val="en-US"/>
        </w:rPr>
        <w:t xml:space="preserve"> (59 GHz – 62.9 GHz)</w:t>
      </w:r>
      <w:r>
        <w:rPr>
          <w:b w:val="0"/>
          <w:snapToGrid/>
          <w:color w:val="000000" w:themeColor="text1"/>
          <w:kern w:val="2"/>
          <w:sz w:val="20"/>
          <w:lang w:val="en-US"/>
        </w:rPr>
        <w:t>, South Korea</w:t>
      </w:r>
      <w:r w:rsidR="000E0693">
        <w:rPr>
          <w:b w:val="0"/>
          <w:snapToGrid/>
          <w:color w:val="000000" w:themeColor="text1"/>
          <w:kern w:val="2"/>
          <w:sz w:val="20"/>
          <w:lang w:val="en-US"/>
        </w:rPr>
        <w:t xml:space="preserve"> (57 GHz – 64 GHz)</w:t>
      </w:r>
      <w:r>
        <w:rPr>
          <w:b w:val="0"/>
          <w:snapToGrid/>
          <w:color w:val="000000" w:themeColor="text1"/>
          <w:kern w:val="2"/>
          <w:sz w:val="20"/>
          <w:lang w:val="en-US"/>
        </w:rPr>
        <w:t>, and Australia</w:t>
      </w:r>
      <w:r w:rsidR="000E0693">
        <w:rPr>
          <w:b w:val="0"/>
          <w:snapToGrid/>
          <w:color w:val="000000" w:themeColor="text1"/>
          <w:kern w:val="2"/>
          <w:sz w:val="20"/>
          <w:lang w:val="en-US"/>
        </w:rPr>
        <w:t xml:space="preserve"> (59.4 GHz – 62.9 GHz)</w:t>
      </w:r>
      <w:r>
        <w:rPr>
          <w:b w:val="0"/>
          <w:snapToGrid/>
          <w:color w:val="000000" w:themeColor="text1"/>
          <w:kern w:val="2"/>
          <w:sz w:val="20"/>
          <w:lang w:val="en-US"/>
        </w:rPr>
        <w:t>.</w:t>
      </w:r>
      <w:r w:rsidR="000E0693">
        <w:rPr>
          <w:b w:val="0"/>
          <w:snapToGrid/>
          <w:color w:val="000000" w:themeColor="text1"/>
          <w:kern w:val="2"/>
          <w:sz w:val="20"/>
          <w:lang w:val="en-US"/>
        </w:rPr>
        <w:t xml:space="preserve"> Each channel has bandwidth of 2.16 GHz</w:t>
      </w:r>
      <w:r w:rsidR="00A25621">
        <w:rPr>
          <w:b w:val="0"/>
          <w:snapToGrid/>
          <w:color w:val="000000" w:themeColor="text1"/>
          <w:kern w:val="2"/>
          <w:sz w:val="20"/>
          <w:lang w:val="en-US"/>
        </w:rPr>
        <w:t xml:space="preserve">. In the following, some challenges in the operation in 60 GHz band are enumerated. </w:t>
      </w:r>
    </w:p>
    <w:p w14:paraId="6ED5149E" w14:textId="4005C462" w:rsidR="00C46B75" w:rsidRPr="009835D2" w:rsidRDefault="00A25621" w:rsidP="009835D2">
      <w:pPr>
        <w:pStyle w:val="LGTdoc1"/>
        <w:numPr>
          <w:ilvl w:val="0"/>
          <w:numId w:val="18"/>
        </w:numPr>
        <w:spacing w:before="120" w:after="0" w:afterAutospacing="0"/>
        <w:rPr>
          <w:b w:val="0"/>
          <w:snapToGrid/>
          <w:color w:val="000000" w:themeColor="text1"/>
          <w:kern w:val="2"/>
          <w:sz w:val="20"/>
          <w:lang w:val="en-US"/>
        </w:rPr>
      </w:pPr>
      <w:r w:rsidRPr="009835D2">
        <w:rPr>
          <w:b w:val="0"/>
          <w:snapToGrid/>
          <w:color w:val="000000" w:themeColor="text1"/>
          <w:kern w:val="2"/>
          <w:sz w:val="20"/>
          <w:lang w:val="en-US"/>
        </w:rPr>
        <w:t>Increased path loss: The free space path l</w:t>
      </w:r>
      <w:r w:rsidR="00C46B75" w:rsidRPr="009835D2">
        <w:rPr>
          <w:b w:val="0"/>
          <w:snapToGrid/>
          <w:color w:val="000000" w:themeColor="text1"/>
          <w:kern w:val="2"/>
          <w:sz w:val="20"/>
          <w:lang w:val="en-US"/>
        </w:rPr>
        <w:t>oss over 1 m at 60 GHz is 68 dB, which is 21.6 dB worse than 5 GHz</w:t>
      </w:r>
      <w:r w:rsidRPr="009835D2">
        <w:rPr>
          <w:b w:val="0"/>
          <w:snapToGrid/>
          <w:color w:val="000000" w:themeColor="text1"/>
          <w:kern w:val="2"/>
          <w:sz w:val="20"/>
          <w:lang w:val="en-US"/>
        </w:rPr>
        <w:t xml:space="preserve"> band</w:t>
      </w:r>
      <w:r w:rsidR="00C46B75" w:rsidRPr="009835D2">
        <w:rPr>
          <w:b w:val="0"/>
          <w:snapToGrid/>
          <w:color w:val="000000" w:themeColor="text1"/>
          <w:kern w:val="2"/>
          <w:sz w:val="20"/>
          <w:lang w:val="en-US"/>
        </w:rPr>
        <w:t>.</w:t>
      </w:r>
      <w:r w:rsidRPr="009835D2">
        <w:rPr>
          <w:b w:val="0"/>
          <w:snapToGrid/>
          <w:color w:val="000000" w:themeColor="text1"/>
          <w:kern w:val="2"/>
          <w:sz w:val="20"/>
          <w:lang w:val="en-US"/>
        </w:rPr>
        <w:t xml:space="preserve"> F</w:t>
      </w:r>
      <w:r w:rsidR="0058558E" w:rsidRPr="009835D2">
        <w:rPr>
          <w:b w:val="0"/>
          <w:snapToGrid/>
          <w:color w:val="000000" w:themeColor="text1"/>
          <w:kern w:val="2"/>
          <w:sz w:val="20"/>
          <w:lang w:val="en-US"/>
        </w:rPr>
        <w:t>urth</w:t>
      </w:r>
      <w:r w:rsidRPr="009835D2">
        <w:rPr>
          <w:b w:val="0"/>
          <w:snapToGrid/>
          <w:color w:val="000000" w:themeColor="text1"/>
          <w:kern w:val="2"/>
          <w:sz w:val="20"/>
          <w:lang w:val="en-US"/>
        </w:rPr>
        <w:t xml:space="preserve">ermore, </w:t>
      </w:r>
      <w:r w:rsidR="0058558E" w:rsidRPr="009835D2">
        <w:rPr>
          <w:b w:val="0"/>
          <w:snapToGrid/>
          <w:color w:val="000000" w:themeColor="text1"/>
          <w:kern w:val="2"/>
          <w:sz w:val="20"/>
          <w:lang w:val="en-US"/>
        </w:rPr>
        <w:t>h</w:t>
      </w:r>
      <w:r w:rsidR="00C46B75" w:rsidRPr="009835D2">
        <w:rPr>
          <w:b w:val="0"/>
          <w:snapToGrid/>
          <w:color w:val="000000" w:themeColor="text1"/>
          <w:kern w:val="2"/>
          <w:sz w:val="20"/>
          <w:lang w:val="en-US"/>
        </w:rPr>
        <w:t xml:space="preserve">uman body shadowing </w:t>
      </w:r>
      <w:r w:rsidR="0058558E" w:rsidRPr="009835D2">
        <w:rPr>
          <w:b w:val="0"/>
          <w:snapToGrid/>
          <w:color w:val="000000" w:themeColor="text1"/>
          <w:kern w:val="2"/>
          <w:sz w:val="20"/>
          <w:lang w:val="en-US"/>
        </w:rPr>
        <w:t xml:space="preserve">can range </w:t>
      </w:r>
      <w:r w:rsidR="00C46B75" w:rsidRPr="009835D2">
        <w:rPr>
          <w:b w:val="0"/>
          <w:snapToGrid/>
          <w:color w:val="000000" w:themeColor="text1"/>
          <w:kern w:val="2"/>
          <w:sz w:val="20"/>
          <w:lang w:val="en-US"/>
        </w:rPr>
        <w:t xml:space="preserve">from a few dB to </w:t>
      </w:r>
      <w:r w:rsidR="0058558E" w:rsidRPr="009835D2">
        <w:rPr>
          <w:b w:val="0"/>
          <w:snapToGrid/>
          <w:color w:val="000000" w:themeColor="text1"/>
          <w:kern w:val="2"/>
          <w:sz w:val="20"/>
          <w:lang w:val="en-US"/>
        </w:rPr>
        <w:t xml:space="preserve">exceeding </w:t>
      </w:r>
      <w:r w:rsidR="00C46B75" w:rsidRPr="009835D2">
        <w:rPr>
          <w:b w:val="0"/>
          <w:snapToGrid/>
          <w:color w:val="000000" w:themeColor="text1"/>
          <w:kern w:val="2"/>
          <w:sz w:val="20"/>
          <w:lang w:val="en-US"/>
        </w:rPr>
        <w:t>30 dB.</w:t>
      </w:r>
      <w:r w:rsidR="0058558E" w:rsidRPr="009835D2">
        <w:rPr>
          <w:b w:val="0"/>
          <w:snapToGrid/>
          <w:color w:val="000000" w:themeColor="text1"/>
          <w:kern w:val="2"/>
          <w:sz w:val="20"/>
          <w:lang w:val="en-US"/>
        </w:rPr>
        <w:t xml:space="preserve"> </w:t>
      </w:r>
    </w:p>
    <w:p w14:paraId="384BBFC4" w14:textId="41857D6F" w:rsidR="0058558E" w:rsidRPr="009835D2" w:rsidRDefault="0058558E" w:rsidP="009835D2">
      <w:pPr>
        <w:pStyle w:val="LGTdoc1"/>
        <w:numPr>
          <w:ilvl w:val="0"/>
          <w:numId w:val="18"/>
        </w:numPr>
        <w:spacing w:before="120" w:after="0" w:afterAutospacing="0"/>
        <w:rPr>
          <w:b w:val="0"/>
          <w:color w:val="000000" w:themeColor="text1"/>
          <w:kern w:val="2"/>
          <w:sz w:val="20"/>
        </w:rPr>
      </w:pPr>
      <w:r w:rsidRPr="009835D2">
        <w:rPr>
          <w:b w:val="0"/>
          <w:snapToGrid/>
          <w:color w:val="000000" w:themeColor="text1"/>
          <w:kern w:val="2"/>
          <w:sz w:val="20"/>
          <w:lang w:val="en-US"/>
        </w:rPr>
        <w:t>RF absorption peak:</w:t>
      </w:r>
      <w:r w:rsidR="009835D2" w:rsidRPr="009835D2">
        <w:rPr>
          <w:b w:val="0"/>
          <w:snapToGrid/>
          <w:color w:val="000000" w:themeColor="text1"/>
          <w:kern w:val="2"/>
          <w:sz w:val="20"/>
          <w:lang w:val="en-US"/>
        </w:rPr>
        <w:t xml:space="preserve"> The effect is due to </w:t>
      </w:r>
      <w:r w:rsidR="00C46B75" w:rsidRPr="009835D2">
        <w:rPr>
          <w:b w:val="0"/>
          <w:color w:val="000000" w:themeColor="text1"/>
          <w:kern w:val="2"/>
          <w:sz w:val="20"/>
        </w:rPr>
        <w:t>a resonance of atmospheric oxygen molecules</w:t>
      </w:r>
      <w:r w:rsidR="009835D2" w:rsidRPr="009835D2">
        <w:rPr>
          <w:b w:val="0"/>
          <w:color w:val="000000" w:themeColor="text1"/>
          <w:kern w:val="2"/>
          <w:sz w:val="20"/>
        </w:rPr>
        <w:t xml:space="preserve"> at 60 GHz, which</w:t>
      </w:r>
      <w:r w:rsidR="009835D2" w:rsidRPr="009835D2">
        <w:rPr>
          <w:b w:val="0"/>
          <w:snapToGrid/>
          <w:color w:val="000000" w:themeColor="text1"/>
          <w:kern w:val="2"/>
          <w:sz w:val="20"/>
          <w:lang w:val="en-US"/>
        </w:rPr>
        <w:t xml:space="preserve"> starts to become significant at range over 100 meter.</w:t>
      </w:r>
    </w:p>
    <w:p w14:paraId="7B3D5649" w14:textId="6784E7D1" w:rsidR="009835D2" w:rsidRPr="009835D2" w:rsidRDefault="009835D2" w:rsidP="009835D2">
      <w:pPr>
        <w:pStyle w:val="LGTdoc1"/>
        <w:numPr>
          <w:ilvl w:val="0"/>
          <w:numId w:val="18"/>
        </w:numPr>
        <w:spacing w:before="120" w:after="0" w:afterAutospacing="0"/>
        <w:rPr>
          <w:b w:val="0"/>
          <w:color w:val="000000" w:themeColor="text1"/>
          <w:kern w:val="2"/>
          <w:sz w:val="20"/>
        </w:rPr>
      </w:pPr>
      <w:r w:rsidRPr="009835D2">
        <w:rPr>
          <w:b w:val="0"/>
          <w:color w:val="000000" w:themeColor="text1"/>
          <w:kern w:val="2"/>
          <w:sz w:val="20"/>
        </w:rPr>
        <w:t xml:space="preserve">Directional deafness: Not only the transmission but also the channel sensing are difficult due to the high directivity of the transmitted signal at 60 GHz band. </w:t>
      </w:r>
    </w:p>
    <w:p w14:paraId="7F87FA70" w14:textId="2FECD5BD" w:rsidR="009835D2" w:rsidRDefault="009835D2" w:rsidP="009835D2">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Due to the challenges</w:t>
      </w:r>
      <w:r w:rsidR="00BC165A">
        <w:rPr>
          <w:b w:val="0"/>
          <w:snapToGrid/>
          <w:color w:val="000000" w:themeColor="text1"/>
          <w:kern w:val="2"/>
          <w:sz w:val="20"/>
          <w:lang w:val="en-US"/>
        </w:rPr>
        <w:t xml:space="preserve"> above-mentioned</w:t>
      </w:r>
      <w:r>
        <w:rPr>
          <w:b w:val="0"/>
          <w:snapToGrid/>
          <w:color w:val="000000" w:themeColor="text1"/>
          <w:kern w:val="2"/>
          <w:sz w:val="20"/>
          <w:lang w:val="en-US"/>
        </w:rPr>
        <w:t xml:space="preserve"> </w:t>
      </w:r>
      <w:r w:rsidR="00F10805">
        <w:rPr>
          <w:b w:val="0"/>
          <w:snapToGrid/>
          <w:color w:val="000000" w:themeColor="text1"/>
          <w:kern w:val="2"/>
          <w:sz w:val="20"/>
          <w:lang w:val="en-US"/>
        </w:rPr>
        <w:t>and also wide channel bandwidth</w:t>
      </w:r>
      <w:r>
        <w:rPr>
          <w:b w:val="0"/>
          <w:snapToGrid/>
          <w:color w:val="000000" w:themeColor="text1"/>
          <w:kern w:val="2"/>
          <w:sz w:val="20"/>
          <w:lang w:val="en-US"/>
        </w:rPr>
        <w:t xml:space="preserve"> in 60 GHz band, </w:t>
      </w:r>
      <w:r w:rsidR="00F10805">
        <w:rPr>
          <w:b w:val="0"/>
          <w:snapToGrid/>
          <w:color w:val="000000" w:themeColor="text1"/>
          <w:kern w:val="2"/>
          <w:sz w:val="20"/>
          <w:lang w:val="en-US"/>
        </w:rPr>
        <w:t>higher EIRP is allowed in general. For instance, EU allows 40 dBm EIRP with 13 dBm/MHz PSD limit [4].</w:t>
      </w:r>
    </w:p>
    <w:p w14:paraId="21FEF02C" w14:textId="501E3967" w:rsidR="008F574F" w:rsidRPr="002A1161" w:rsidRDefault="008F574F" w:rsidP="008F574F">
      <w:pPr>
        <w:pStyle w:val="LGTdoc1"/>
        <w:numPr>
          <w:ilvl w:val="2"/>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Forward compatibility considerations </w:t>
      </w:r>
    </w:p>
    <w:p w14:paraId="2781866B" w14:textId="746B59F1" w:rsidR="00223577" w:rsidRDefault="00EF3AD9" w:rsidP="00EF3AD9">
      <w:pPr>
        <w:pStyle w:val="LGTdoc1"/>
        <w:spacing w:beforeLines="0" w:before="120" w:after="0" w:afterAutospacing="0"/>
        <w:rPr>
          <w:b w:val="0"/>
          <w:snapToGrid/>
          <w:color w:val="000000" w:themeColor="text1"/>
          <w:kern w:val="2"/>
          <w:sz w:val="20"/>
        </w:rPr>
      </w:pPr>
      <w:r>
        <w:rPr>
          <w:b w:val="0"/>
          <w:snapToGrid/>
          <w:color w:val="000000" w:themeColor="text1"/>
          <w:kern w:val="2"/>
          <w:sz w:val="20"/>
          <w:lang w:val="en-US"/>
        </w:rPr>
        <w:t>As per ITU-R recommendation [</w:t>
      </w:r>
      <w:r w:rsidR="00C46B75">
        <w:rPr>
          <w:b w:val="0"/>
          <w:snapToGrid/>
          <w:color w:val="000000" w:themeColor="text1"/>
          <w:kern w:val="2"/>
          <w:sz w:val="20"/>
          <w:lang w:val="en-US"/>
        </w:rPr>
        <w:t>5</w:t>
      </w:r>
      <w:r>
        <w:rPr>
          <w:b w:val="0"/>
          <w:snapToGrid/>
          <w:color w:val="000000" w:themeColor="text1"/>
          <w:kern w:val="2"/>
          <w:sz w:val="20"/>
          <w:lang w:val="en-US"/>
        </w:rPr>
        <w:t xml:space="preserve">], and also as is the actual </w:t>
      </w:r>
      <w:r w:rsidR="00C46B75">
        <w:rPr>
          <w:b w:val="0"/>
          <w:snapToGrid/>
          <w:color w:val="000000" w:themeColor="text1"/>
          <w:kern w:val="2"/>
          <w:sz w:val="20"/>
          <w:lang w:val="en-US"/>
        </w:rPr>
        <w:t xml:space="preserve">design, the </w:t>
      </w:r>
      <w:r>
        <w:rPr>
          <w:b w:val="0"/>
          <w:snapToGrid/>
          <w:color w:val="000000" w:themeColor="text1"/>
          <w:kern w:val="2"/>
          <w:sz w:val="20"/>
          <w:lang w:val="en-US"/>
        </w:rPr>
        <w:t xml:space="preserve">IEEE 802.11ad </w:t>
      </w:r>
      <w:r w:rsidR="00B753CA">
        <w:rPr>
          <w:b w:val="0"/>
          <w:snapToGrid/>
          <w:color w:val="000000" w:themeColor="text1"/>
          <w:kern w:val="2"/>
          <w:sz w:val="20"/>
          <w:lang w:val="en-US"/>
        </w:rPr>
        <w:t xml:space="preserve">is </w:t>
      </w:r>
      <w:r w:rsidR="00C46B75">
        <w:rPr>
          <w:b w:val="0"/>
          <w:snapToGrid/>
          <w:color w:val="000000" w:themeColor="text1"/>
          <w:kern w:val="2"/>
          <w:sz w:val="20"/>
          <w:lang w:val="en-US"/>
        </w:rPr>
        <w:t xml:space="preserve">more based on the </w:t>
      </w:r>
      <w:r w:rsidR="00C46B75" w:rsidRPr="00B753CA">
        <w:rPr>
          <w:b w:val="0"/>
          <w:snapToGrid/>
          <w:color w:val="000000" w:themeColor="text1"/>
          <w:kern w:val="2"/>
          <w:sz w:val="20"/>
          <w:lang w:val="en-US"/>
        </w:rPr>
        <w:t xml:space="preserve">Point Coordination Function (PCF) </w:t>
      </w:r>
      <w:r w:rsidR="00C46B75">
        <w:rPr>
          <w:b w:val="0"/>
          <w:snapToGrid/>
          <w:color w:val="000000" w:themeColor="text1"/>
          <w:kern w:val="2"/>
          <w:sz w:val="20"/>
          <w:lang w:val="en-US"/>
        </w:rPr>
        <w:t>like operation</w:t>
      </w:r>
      <w:r w:rsidR="00B753CA">
        <w:rPr>
          <w:b w:val="0"/>
          <w:snapToGrid/>
          <w:color w:val="000000" w:themeColor="text1"/>
          <w:kern w:val="2"/>
          <w:sz w:val="20"/>
          <w:lang w:val="en-US"/>
        </w:rPr>
        <w:t>, which is polling-based scheduled operation,</w:t>
      </w:r>
      <w:r w:rsidR="00C46B75">
        <w:rPr>
          <w:b w:val="0"/>
          <w:snapToGrid/>
          <w:color w:val="000000" w:themeColor="text1"/>
          <w:kern w:val="2"/>
          <w:sz w:val="20"/>
          <w:lang w:val="en-US"/>
        </w:rPr>
        <w:t xml:space="preserve"> than the </w:t>
      </w:r>
      <w:r w:rsidR="00C46B75" w:rsidRPr="00B753CA">
        <w:rPr>
          <w:b w:val="0"/>
          <w:snapToGrid/>
          <w:color w:val="000000" w:themeColor="text1"/>
          <w:kern w:val="2"/>
          <w:sz w:val="20"/>
          <w:lang w:val="en-US"/>
        </w:rPr>
        <w:t xml:space="preserve">Distributed Coordination Function (DCF) </w:t>
      </w:r>
      <w:r w:rsidR="00C46B75">
        <w:rPr>
          <w:b w:val="0"/>
          <w:snapToGrid/>
          <w:color w:val="000000" w:themeColor="text1"/>
          <w:kern w:val="2"/>
          <w:sz w:val="20"/>
          <w:lang w:val="en-US"/>
        </w:rPr>
        <w:t xml:space="preserve">like operation, which </w:t>
      </w:r>
      <w:r w:rsidR="00C46B75" w:rsidRPr="00B753CA">
        <w:rPr>
          <w:b w:val="0"/>
          <w:snapToGrid/>
          <w:color w:val="000000" w:themeColor="text1"/>
          <w:kern w:val="2"/>
          <w:sz w:val="20"/>
          <w:lang w:val="en-US"/>
        </w:rPr>
        <w:t>relies on CSMA/CA and optional 802.11 RTS/CTS</w:t>
      </w:r>
      <w:r w:rsidR="00C46B75">
        <w:rPr>
          <w:b w:val="0"/>
          <w:snapToGrid/>
          <w:color w:val="000000" w:themeColor="text1"/>
          <w:kern w:val="2"/>
          <w:sz w:val="20"/>
          <w:lang w:val="en-US"/>
        </w:rPr>
        <w:t>.</w:t>
      </w:r>
      <w:r w:rsidR="00B753CA">
        <w:rPr>
          <w:b w:val="0"/>
          <w:snapToGrid/>
          <w:color w:val="000000" w:themeColor="text1"/>
          <w:kern w:val="2"/>
          <w:sz w:val="20"/>
          <w:lang w:val="en-US"/>
        </w:rPr>
        <w:t xml:space="preserve"> </w:t>
      </w:r>
      <w:r w:rsidR="00223577">
        <w:rPr>
          <w:b w:val="0"/>
          <w:snapToGrid/>
          <w:color w:val="000000" w:themeColor="text1"/>
          <w:kern w:val="2"/>
          <w:sz w:val="20"/>
          <w:lang w:val="en-US"/>
        </w:rPr>
        <w:t xml:space="preserve">Indeed such scheduled access is necessary. Otherwise, a receiver would not know in which direction a signal comes, which </w:t>
      </w:r>
      <w:r w:rsidR="001B5623">
        <w:rPr>
          <w:b w:val="0"/>
          <w:snapToGrid/>
          <w:color w:val="000000" w:themeColor="text1"/>
          <w:kern w:val="2"/>
          <w:sz w:val="20"/>
          <w:lang w:val="en-US"/>
        </w:rPr>
        <w:t xml:space="preserve">requires the use of </w:t>
      </w:r>
      <w:r w:rsidR="001B5623" w:rsidRPr="001B5623">
        <w:rPr>
          <w:b w:val="0"/>
          <w:snapToGrid/>
          <w:color w:val="000000" w:themeColor="text1"/>
          <w:kern w:val="2"/>
          <w:sz w:val="20"/>
        </w:rPr>
        <w:t>quas</w:t>
      </w:r>
      <w:r w:rsidR="001B5623">
        <w:rPr>
          <w:b w:val="0"/>
          <w:snapToGrid/>
          <w:color w:val="000000" w:themeColor="text1"/>
          <w:kern w:val="2"/>
          <w:sz w:val="20"/>
        </w:rPr>
        <w:t>i-omni</w:t>
      </w:r>
      <w:r w:rsidR="00B44210">
        <w:rPr>
          <w:b w:val="0"/>
          <w:snapToGrid/>
          <w:color w:val="000000" w:themeColor="text1"/>
          <w:kern w:val="2"/>
          <w:sz w:val="20"/>
        </w:rPr>
        <w:t xml:space="preserve"> </w:t>
      </w:r>
      <w:r w:rsidR="001B5623">
        <w:rPr>
          <w:b w:val="0"/>
          <w:snapToGrid/>
          <w:color w:val="000000" w:themeColor="text1"/>
          <w:kern w:val="2"/>
          <w:sz w:val="20"/>
        </w:rPr>
        <w:t>directional bea</w:t>
      </w:r>
      <w:r w:rsidR="00B44210">
        <w:rPr>
          <w:b w:val="0"/>
          <w:snapToGrid/>
          <w:color w:val="000000" w:themeColor="text1"/>
          <w:kern w:val="2"/>
          <w:sz w:val="20"/>
        </w:rPr>
        <w:t>m</w:t>
      </w:r>
      <w:r w:rsidR="001B5623">
        <w:rPr>
          <w:b w:val="0"/>
          <w:snapToGrid/>
          <w:color w:val="000000" w:themeColor="text1"/>
          <w:kern w:val="2"/>
          <w:sz w:val="20"/>
        </w:rPr>
        <w:t xml:space="preserve"> pattern that will result in </w:t>
      </w:r>
      <w:r w:rsidR="001B5623" w:rsidRPr="001B5623">
        <w:rPr>
          <w:b w:val="0"/>
          <w:snapToGrid/>
          <w:color w:val="000000" w:themeColor="text1"/>
          <w:kern w:val="2"/>
          <w:sz w:val="20"/>
        </w:rPr>
        <w:t>reduce</w:t>
      </w:r>
      <w:r w:rsidR="001B5623">
        <w:rPr>
          <w:b w:val="0"/>
          <w:snapToGrid/>
          <w:color w:val="000000" w:themeColor="text1"/>
          <w:kern w:val="2"/>
          <w:sz w:val="20"/>
        </w:rPr>
        <w:t>d</w:t>
      </w:r>
      <w:r w:rsidR="001B5623" w:rsidRPr="001B5623">
        <w:rPr>
          <w:b w:val="0"/>
          <w:snapToGrid/>
          <w:color w:val="000000" w:themeColor="text1"/>
          <w:kern w:val="2"/>
          <w:sz w:val="20"/>
        </w:rPr>
        <w:t xml:space="preserve"> throughput</w:t>
      </w:r>
      <w:r w:rsidR="00B44210">
        <w:rPr>
          <w:b w:val="0"/>
          <w:snapToGrid/>
          <w:color w:val="000000" w:themeColor="text1"/>
          <w:kern w:val="2"/>
          <w:sz w:val="20"/>
        </w:rPr>
        <w:t xml:space="preserve"> and coverage</w:t>
      </w:r>
      <w:r w:rsidR="001B5623">
        <w:rPr>
          <w:b w:val="0"/>
          <w:snapToGrid/>
          <w:color w:val="000000" w:themeColor="text1"/>
          <w:kern w:val="2"/>
          <w:sz w:val="20"/>
        </w:rPr>
        <w:t xml:space="preserve">. Given that scheduled channel access is not only recommended but also necessary, </w:t>
      </w:r>
      <w:r w:rsidR="001B5623">
        <w:rPr>
          <w:b w:val="0"/>
          <w:snapToGrid/>
          <w:color w:val="000000" w:themeColor="text1"/>
          <w:kern w:val="2"/>
          <w:sz w:val="20"/>
          <w:lang w:val="en-US"/>
        </w:rPr>
        <w:t>it is envisioned that the NR design for mmWave can work without much modifications.</w:t>
      </w:r>
      <w:r w:rsidR="001B5623">
        <w:rPr>
          <w:b w:val="0"/>
          <w:snapToGrid/>
          <w:color w:val="000000" w:themeColor="text1"/>
          <w:kern w:val="2"/>
          <w:sz w:val="20"/>
        </w:rPr>
        <w:t xml:space="preserve"> </w:t>
      </w:r>
      <w:r w:rsidR="004F58B4">
        <w:rPr>
          <w:b w:val="0"/>
          <w:snapToGrid/>
          <w:color w:val="000000" w:themeColor="text1"/>
          <w:kern w:val="2"/>
          <w:sz w:val="20"/>
        </w:rPr>
        <w:t>The 2.16 GHz channel bandwidth in 60 GHz unlicensed spectrum may need to be considered for NR design.</w:t>
      </w:r>
    </w:p>
    <w:p w14:paraId="24919259" w14:textId="2B833FE6" w:rsidR="00C97001" w:rsidRPr="00603A6D" w:rsidRDefault="00B44210" w:rsidP="00603A6D">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5</w:t>
      </w:r>
      <w:r w:rsidRPr="00373C2B">
        <w:rPr>
          <w:snapToGrid/>
          <w:color w:val="000000" w:themeColor="text1"/>
          <w:kern w:val="2"/>
          <w:sz w:val="20"/>
          <w:lang w:val="en-US"/>
        </w:rPr>
        <w:t>:</w:t>
      </w:r>
      <w:r>
        <w:rPr>
          <w:snapToGrid/>
          <w:color w:val="000000" w:themeColor="text1"/>
          <w:kern w:val="2"/>
          <w:sz w:val="20"/>
          <w:lang w:val="en-US"/>
        </w:rPr>
        <w:t xml:space="preserve"> It is envisioned that NR design for mmWave </w:t>
      </w:r>
      <w:r w:rsidR="004F58B4">
        <w:rPr>
          <w:snapToGrid/>
          <w:color w:val="000000" w:themeColor="text1"/>
          <w:kern w:val="2"/>
          <w:sz w:val="20"/>
          <w:lang w:val="en-US"/>
        </w:rPr>
        <w:t xml:space="preserve">can work in 60 GHz </w:t>
      </w:r>
      <w:r w:rsidR="001A2D6C">
        <w:rPr>
          <w:snapToGrid/>
          <w:color w:val="000000" w:themeColor="text1"/>
          <w:kern w:val="2"/>
          <w:sz w:val="20"/>
          <w:lang w:val="en-US"/>
        </w:rPr>
        <w:t>unlicensed</w:t>
      </w:r>
      <w:r w:rsidR="004F58B4">
        <w:rPr>
          <w:snapToGrid/>
          <w:color w:val="000000" w:themeColor="text1"/>
          <w:kern w:val="2"/>
          <w:sz w:val="20"/>
          <w:lang w:val="en-US"/>
        </w:rPr>
        <w:t xml:space="preserve"> band without much modification. </w:t>
      </w:r>
      <w:r w:rsidR="00603A6D" w:rsidRPr="00603A6D">
        <w:rPr>
          <w:snapToGrid/>
          <w:color w:val="000000" w:themeColor="text1"/>
          <w:kern w:val="2"/>
          <w:sz w:val="20"/>
          <w:lang w:val="en-US"/>
        </w:rPr>
        <w:t>The 2.16 GHz channel bandwidth in 60 GHz unlicensed spectrum</w:t>
      </w:r>
      <w:r w:rsidR="00603A6D">
        <w:rPr>
          <w:snapToGrid/>
          <w:color w:val="000000" w:themeColor="text1"/>
          <w:kern w:val="2"/>
          <w:sz w:val="20"/>
          <w:lang w:val="en-US"/>
        </w:rPr>
        <w:t xml:space="preserve"> can be taken into consideration.</w:t>
      </w:r>
    </w:p>
    <w:p w14:paraId="6B4C7F69" w14:textId="4CD0BFE3" w:rsidR="00741A24" w:rsidRPr="002A2AA2" w:rsidRDefault="00C97001" w:rsidP="00741A24">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There are other issues that needs to be considered such as directional LBT design or preamble design to facilitate the signal presence detection in mmWave. However, those are unlicensed band operation specific designs and, thus, no need to be considered in the context of forward compatibility. </w:t>
      </w:r>
      <w:r w:rsidR="001B5623">
        <w:rPr>
          <w:b w:val="0"/>
          <w:snapToGrid/>
          <w:color w:val="000000" w:themeColor="text1"/>
          <w:kern w:val="2"/>
          <w:sz w:val="20"/>
          <w:lang w:val="en-US"/>
        </w:rPr>
        <w:t xml:space="preserve"> </w:t>
      </w:r>
    </w:p>
    <w:p w14:paraId="68351AA1" w14:textId="3BC7117D" w:rsidR="00741A24" w:rsidRDefault="001C433F" w:rsidP="00741A24">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3.5 GHz CBRS band for U.S.</w:t>
      </w:r>
      <w:r w:rsidR="000A2CA8">
        <w:rPr>
          <w:rFonts w:ascii="Arial" w:eastAsia="SimSun" w:hAnsi="Arial" w:cs="Arial"/>
          <w:sz w:val="24"/>
          <w:lang w:val="en-US" w:eastAsia="zh-CN"/>
        </w:rPr>
        <w:t xml:space="preserve"> </w:t>
      </w:r>
    </w:p>
    <w:p w14:paraId="5EF6CBC3" w14:textId="1A60B8B2" w:rsidR="00741A24" w:rsidRDefault="00741A24" w:rsidP="00741A24">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U.S. FCC adopted rules for Citizens Broadband Radio Service (CBRS), opening 150 MHz spectrum for commercial use, which wa</w:t>
      </w:r>
      <w:r w:rsidR="0046156F">
        <w:rPr>
          <w:b w:val="0"/>
          <w:snapToGrid/>
          <w:color w:val="000000" w:themeColor="text1"/>
          <w:kern w:val="2"/>
          <w:sz w:val="20"/>
          <w:lang w:val="en-US"/>
        </w:rPr>
        <w:t>s previously locked by U.S. DoD [6].</w:t>
      </w:r>
    </w:p>
    <w:p w14:paraId="5230E304" w14:textId="77777777" w:rsidR="00347C06" w:rsidRPr="00741A24" w:rsidRDefault="00347C06" w:rsidP="00741A24">
      <w:pPr>
        <w:pStyle w:val="LGTdoc1"/>
        <w:spacing w:beforeLines="0" w:before="120" w:after="120" w:afterAutospacing="0"/>
        <w:rPr>
          <w:b w:val="0"/>
          <w:snapToGrid/>
          <w:color w:val="000000" w:themeColor="text1"/>
          <w:kern w:val="2"/>
          <w:sz w:val="20"/>
          <w:lang w:val="en-US"/>
        </w:rPr>
      </w:pPr>
    </w:p>
    <w:p w14:paraId="73ADE889" w14:textId="77777777" w:rsidR="001C433F" w:rsidRPr="002A1161" w:rsidRDefault="00711F0A" w:rsidP="001C433F">
      <w:pPr>
        <w:pStyle w:val="LGTdoc1"/>
        <w:numPr>
          <w:ilvl w:val="2"/>
          <w:numId w:val="2"/>
        </w:numPr>
        <w:spacing w:beforeLines="0" w:before="360" w:after="120" w:afterAutospacing="0"/>
        <w:rPr>
          <w:rFonts w:ascii="Arial" w:hAnsi="Arial" w:cs="Arial"/>
          <w:sz w:val="24"/>
          <w:lang w:val="en-US"/>
        </w:rPr>
      </w:pPr>
      <w:r w:rsidRPr="00FC7BBB">
        <w:rPr>
          <w:sz w:val="20"/>
          <w:lang w:val="en-US"/>
        </w:rPr>
        <w:lastRenderedPageBreak/>
        <w:t xml:space="preserve"> </w:t>
      </w:r>
      <w:r w:rsidR="001C433F">
        <w:rPr>
          <w:rFonts w:ascii="Arial" w:eastAsia="SimSun" w:hAnsi="Arial" w:cs="Arial"/>
          <w:sz w:val="24"/>
          <w:lang w:val="en-US" w:eastAsia="zh-CN"/>
        </w:rPr>
        <w:t xml:space="preserve">Spectrum overview </w:t>
      </w:r>
    </w:p>
    <w:p w14:paraId="63978D41" w14:textId="2090B9B8" w:rsidR="001C433F" w:rsidRDefault="0046156F" w:rsidP="0046156F">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The CBRS band is based on the n</w:t>
      </w:r>
      <w:r w:rsidR="00741A24">
        <w:rPr>
          <w:b w:val="0"/>
          <w:snapToGrid/>
          <w:color w:val="000000" w:themeColor="text1"/>
          <w:kern w:val="2"/>
          <w:sz w:val="20"/>
          <w:lang w:val="en-US"/>
        </w:rPr>
        <w:t>ewly designed u</w:t>
      </w:r>
      <w:r w:rsidR="001C433F">
        <w:rPr>
          <w:b w:val="0"/>
          <w:snapToGrid/>
          <w:color w:val="000000" w:themeColor="text1"/>
          <w:kern w:val="2"/>
          <w:sz w:val="20"/>
          <w:lang w:val="en-US"/>
        </w:rPr>
        <w:t>nique three-tiered access model</w:t>
      </w:r>
      <w:r w:rsidR="00741A24">
        <w:rPr>
          <w:b w:val="0"/>
          <w:snapToGrid/>
          <w:color w:val="000000" w:themeColor="text1"/>
          <w:kern w:val="2"/>
          <w:sz w:val="20"/>
          <w:lang w:val="en-US"/>
        </w:rPr>
        <w:t xml:space="preserve"> consisting of Incumbent including federal users and fixed satellite service, Priority Access Licensees (PAL), and General</w:t>
      </w:r>
      <w:r>
        <w:rPr>
          <w:b w:val="0"/>
          <w:snapToGrid/>
          <w:color w:val="000000" w:themeColor="text1"/>
          <w:kern w:val="2"/>
          <w:sz w:val="20"/>
          <w:lang w:val="en-US"/>
        </w:rPr>
        <w:t xml:space="preserve"> Authorized Access (GAA). </w:t>
      </w:r>
      <w:r w:rsidR="006E050F">
        <w:rPr>
          <w:b w:val="0"/>
          <w:snapToGrid/>
          <w:color w:val="000000" w:themeColor="text1"/>
          <w:kern w:val="2"/>
          <w:sz w:val="20"/>
          <w:lang w:val="en-US"/>
        </w:rPr>
        <w:t>Spectrum Access System (</w:t>
      </w:r>
      <w:r w:rsidR="001C433F">
        <w:rPr>
          <w:b w:val="0"/>
          <w:snapToGrid/>
          <w:color w:val="000000" w:themeColor="text1"/>
          <w:kern w:val="2"/>
          <w:sz w:val="20"/>
          <w:lang w:val="en-US"/>
        </w:rPr>
        <w:t>SAS</w:t>
      </w:r>
      <w:r w:rsidR="006E050F">
        <w:rPr>
          <w:b w:val="0"/>
          <w:snapToGrid/>
          <w:color w:val="000000" w:themeColor="text1"/>
          <w:kern w:val="2"/>
          <w:sz w:val="20"/>
          <w:lang w:val="en-US"/>
        </w:rPr>
        <w:t>)</w:t>
      </w:r>
      <w:r w:rsidR="001C433F">
        <w:rPr>
          <w:b w:val="0"/>
          <w:snapToGrid/>
          <w:color w:val="000000" w:themeColor="text1"/>
          <w:kern w:val="2"/>
          <w:sz w:val="20"/>
          <w:lang w:val="en-US"/>
        </w:rPr>
        <w:t xml:space="preserve"> and</w:t>
      </w:r>
      <w:r w:rsidR="006E050F">
        <w:rPr>
          <w:b w:val="0"/>
          <w:snapToGrid/>
          <w:color w:val="000000" w:themeColor="text1"/>
          <w:kern w:val="2"/>
          <w:sz w:val="20"/>
          <w:lang w:val="en-US"/>
        </w:rPr>
        <w:t xml:space="preserve"> Environmental Sensing Capability</w:t>
      </w:r>
      <w:r w:rsidR="001C433F">
        <w:rPr>
          <w:b w:val="0"/>
          <w:snapToGrid/>
          <w:color w:val="000000" w:themeColor="text1"/>
          <w:kern w:val="2"/>
          <w:sz w:val="20"/>
          <w:lang w:val="en-US"/>
        </w:rPr>
        <w:t xml:space="preserve"> </w:t>
      </w:r>
      <w:r w:rsidR="006E050F">
        <w:rPr>
          <w:b w:val="0"/>
          <w:snapToGrid/>
          <w:color w:val="000000" w:themeColor="text1"/>
          <w:kern w:val="2"/>
          <w:sz w:val="20"/>
          <w:lang w:val="en-US"/>
        </w:rPr>
        <w:t>(</w:t>
      </w:r>
      <w:r w:rsidR="001C433F">
        <w:rPr>
          <w:b w:val="0"/>
          <w:snapToGrid/>
          <w:color w:val="000000" w:themeColor="text1"/>
          <w:kern w:val="2"/>
          <w:sz w:val="20"/>
          <w:lang w:val="en-US"/>
        </w:rPr>
        <w:t>ESC</w:t>
      </w:r>
      <w:r w:rsidR="006E050F">
        <w:rPr>
          <w:b w:val="0"/>
          <w:snapToGrid/>
          <w:color w:val="000000" w:themeColor="text1"/>
          <w:kern w:val="2"/>
          <w:sz w:val="20"/>
          <w:lang w:val="en-US"/>
        </w:rPr>
        <w:t>)</w:t>
      </w:r>
      <w:r w:rsidR="001A2D6C">
        <w:rPr>
          <w:b w:val="0"/>
          <w:snapToGrid/>
          <w:color w:val="000000" w:themeColor="text1"/>
          <w:kern w:val="2"/>
          <w:sz w:val="20"/>
          <w:lang w:val="en-US"/>
        </w:rPr>
        <w:t xml:space="preserve"> are</w:t>
      </w:r>
      <w:r w:rsidR="001C433F">
        <w:rPr>
          <w:b w:val="0"/>
          <w:snapToGrid/>
          <w:color w:val="000000" w:themeColor="text1"/>
          <w:kern w:val="2"/>
          <w:sz w:val="20"/>
          <w:lang w:val="en-US"/>
        </w:rPr>
        <w:t xml:space="preserve"> to protect the hierarchy of the prioritized access</w:t>
      </w:r>
      <w:r w:rsidR="006E050F">
        <w:rPr>
          <w:b w:val="0"/>
          <w:snapToGrid/>
          <w:color w:val="000000" w:themeColor="text1"/>
          <w:kern w:val="2"/>
          <w:sz w:val="20"/>
          <w:lang w:val="en-US"/>
        </w:rPr>
        <w:t>. After ESC notifies SAS on the detection of the Incumbent system’s activity, SAS must confirm within 300 seconds that either the suspension of the use or relocation to another available channel.</w:t>
      </w:r>
      <w:r>
        <w:rPr>
          <w:b w:val="0"/>
          <w:snapToGrid/>
          <w:color w:val="000000" w:themeColor="text1"/>
          <w:kern w:val="2"/>
          <w:sz w:val="20"/>
          <w:lang w:val="en-US"/>
        </w:rPr>
        <w:t xml:space="preserve"> The </w:t>
      </w:r>
      <w:r w:rsidR="00FA1E2B">
        <w:rPr>
          <w:b w:val="0"/>
          <w:snapToGrid/>
          <w:color w:val="000000" w:themeColor="text1"/>
          <w:kern w:val="2"/>
          <w:sz w:val="20"/>
          <w:lang w:val="en-US"/>
        </w:rPr>
        <w:t>PAL</w:t>
      </w:r>
      <w:r>
        <w:rPr>
          <w:b w:val="0"/>
          <w:snapToGrid/>
          <w:color w:val="000000" w:themeColor="text1"/>
          <w:kern w:val="2"/>
          <w:sz w:val="20"/>
          <w:lang w:val="en-US"/>
        </w:rPr>
        <w:t xml:space="preserve"> is</w:t>
      </w:r>
      <w:r w:rsidR="00FA1E2B">
        <w:rPr>
          <w:b w:val="0"/>
          <w:snapToGrid/>
          <w:color w:val="000000" w:themeColor="text1"/>
          <w:kern w:val="2"/>
          <w:sz w:val="20"/>
          <w:lang w:val="en-US"/>
        </w:rPr>
        <w:t xml:space="preserve"> </w:t>
      </w:r>
      <w:r>
        <w:rPr>
          <w:b w:val="0"/>
          <w:snapToGrid/>
          <w:color w:val="000000" w:themeColor="text1"/>
          <w:kern w:val="2"/>
          <w:sz w:val="20"/>
          <w:lang w:val="en-US"/>
        </w:rPr>
        <w:t>a</w:t>
      </w:r>
      <w:r w:rsidR="00FA1E2B">
        <w:rPr>
          <w:b w:val="0"/>
          <w:snapToGrid/>
          <w:color w:val="000000" w:themeColor="text1"/>
          <w:kern w:val="2"/>
          <w:sz w:val="20"/>
          <w:lang w:val="en-US"/>
        </w:rPr>
        <w:t xml:space="preserve">uctioned per 10 MHz channel in each census tract for three-year term with no automatic renewal. One licensee may have up to 40 MHz band in total in any given census tract at any given time. </w:t>
      </w:r>
      <w:r w:rsidR="001A2D6C">
        <w:rPr>
          <w:b w:val="0"/>
          <w:snapToGrid/>
          <w:color w:val="000000" w:themeColor="text1"/>
          <w:kern w:val="2"/>
          <w:sz w:val="20"/>
          <w:lang w:val="en-US"/>
        </w:rPr>
        <w:t>The a</w:t>
      </w:r>
      <w:r w:rsidR="00FA1E2B">
        <w:rPr>
          <w:b w:val="0"/>
          <w:snapToGrid/>
          <w:color w:val="000000" w:themeColor="text1"/>
          <w:kern w:val="2"/>
          <w:sz w:val="20"/>
          <w:lang w:val="en-US"/>
        </w:rPr>
        <w:t xml:space="preserve">uction </w:t>
      </w:r>
      <w:r w:rsidR="001A2D6C">
        <w:rPr>
          <w:b w:val="0"/>
          <w:snapToGrid/>
          <w:color w:val="000000" w:themeColor="text1"/>
          <w:kern w:val="2"/>
          <w:sz w:val="20"/>
          <w:lang w:val="en-US"/>
        </w:rPr>
        <w:t xml:space="preserve">is </w:t>
      </w:r>
      <w:r w:rsidR="00FA1E2B">
        <w:rPr>
          <w:b w:val="0"/>
          <w:snapToGrid/>
          <w:color w:val="000000" w:themeColor="text1"/>
          <w:kern w:val="2"/>
          <w:sz w:val="20"/>
          <w:lang w:val="en-US"/>
        </w:rPr>
        <w:t>exempted for rural area.</w:t>
      </w:r>
      <w:r>
        <w:rPr>
          <w:b w:val="0"/>
          <w:snapToGrid/>
          <w:color w:val="000000" w:themeColor="text1"/>
          <w:kern w:val="2"/>
          <w:sz w:val="20"/>
          <w:lang w:val="en-US"/>
        </w:rPr>
        <w:t xml:space="preserve"> </w:t>
      </w:r>
      <w:r w:rsidR="00FA1E2B">
        <w:rPr>
          <w:b w:val="0"/>
          <w:snapToGrid/>
          <w:color w:val="000000" w:themeColor="text1"/>
          <w:kern w:val="2"/>
          <w:sz w:val="20"/>
          <w:lang w:val="en-US"/>
        </w:rPr>
        <w:t xml:space="preserve">Unlicensed GAA users shall be permitted to use frequencies assigned to PALs when such frequencies are not </w:t>
      </w:r>
      <w:r w:rsidR="00347C06">
        <w:rPr>
          <w:b w:val="0"/>
          <w:snapToGrid/>
          <w:color w:val="000000" w:themeColor="text1"/>
          <w:kern w:val="2"/>
          <w:sz w:val="20"/>
          <w:lang w:val="en-US"/>
        </w:rPr>
        <w:t>in</w:t>
      </w:r>
      <w:r w:rsidR="00FA1E2B">
        <w:rPr>
          <w:b w:val="0"/>
          <w:snapToGrid/>
          <w:color w:val="000000" w:themeColor="text1"/>
          <w:kern w:val="2"/>
          <w:sz w:val="20"/>
          <w:lang w:val="en-US"/>
        </w:rPr>
        <w:t xml:space="preserve"> use as determined by SAS. No particular coexistence rule such as LBT is mandated by FCC among GAAs.</w:t>
      </w:r>
    </w:p>
    <w:p w14:paraId="437F9F61" w14:textId="77777777" w:rsidR="001C433F" w:rsidRPr="002A1161" w:rsidRDefault="001C433F" w:rsidP="001C433F">
      <w:pPr>
        <w:pStyle w:val="LGTdoc1"/>
        <w:numPr>
          <w:ilvl w:val="2"/>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Forward compatibility considerations </w:t>
      </w:r>
    </w:p>
    <w:p w14:paraId="12121A2B" w14:textId="5E6521BA" w:rsidR="001C433F" w:rsidRDefault="006C73BC" w:rsidP="006C73BC">
      <w:pPr>
        <w:pStyle w:val="LGTdoc1"/>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 xml:space="preserve">Since the CBRS band channelization is </w:t>
      </w:r>
      <w:r w:rsidR="001C433F">
        <w:rPr>
          <w:b w:val="0"/>
          <w:snapToGrid/>
          <w:color w:val="000000" w:themeColor="text1"/>
          <w:kern w:val="2"/>
          <w:sz w:val="20"/>
          <w:lang w:val="en-US"/>
        </w:rPr>
        <w:t>10 MHz</w:t>
      </w:r>
      <w:r>
        <w:rPr>
          <w:b w:val="0"/>
          <w:snapToGrid/>
          <w:color w:val="000000" w:themeColor="text1"/>
          <w:kern w:val="2"/>
          <w:sz w:val="20"/>
          <w:lang w:val="en-US"/>
        </w:rPr>
        <w:t xml:space="preserve">, 10 MHz system bandwidth support for NR is necessary, if NR intends to operate in CBRS band in the later phase. </w:t>
      </w:r>
      <w:r w:rsidR="009F16E5">
        <w:rPr>
          <w:b w:val="0"/>
          <w:snapToGrid/>
          <w:color w:val="000000" w:themeColor="text1"/>
          <w:kern w:val="2"/>
          <w:sz w:val="20"/>
          <w:lang w:val="en-US"/>
        </w:rPr>
        <w:t xml:space="preserve">Also, a consideration for </w:t>
      </w:r>
      <w:r w:rsidR="009F16E5" w:rsidRPr="009F16E5">
        <w:rPr>
          <w:b w:val="0"/>
          <w:snapToGrid/>
          <w:color w:val="000000" w:themeColor="text1"/>
          <w:kern w:val="2"/>
          <w:sz w:val="20"/>
          <w:lang w:val="en-US"/>
        </w:rPr>
        <w:t>efficient group mobility mechanism to deal with the situation when a cell is migrating from one channel to another following the evacuation command from SAS</w:t>
      </w:r>
      <w:r w:rsidR="009F16E5">
        <w:rPr>
          <w:b w:val="0"/>
          <w:snapToGrid/>
          <w:color w:val="000000" w:themeColor="text1"/>
          <w:kern w:val="2"/>
          <w:sz w:val="20"/>
          <w:lang w:val="en-US"/>
        </w:rPr>
        <w:t xml:space="preserve"> will be very useful for NR operation in CBRS band</w:t>
      </w:r>
      <w:r w:rsidR="009F16E5" w:rsidRPr="009F16E5">
        <w:rPr>
          <w:b w:val="0"/>
          <w:snapToGrid/>
          <w:color w:val="000000" w:themeColor="text1"/>
          <w:kern w:val="2"/>
          <w:sz w:val="20"/>
          <w:lang w:val="en-US"/>
        </w:rPr>
        <w:t>.</w:t>
      </w:r>
      <w:r w:rsidR="009F16E5">
        <w:rPr>
          <w:b w:val="0"/>
          <w:snapToGrid/>
          <w:color w:val="000000" w:themeColor="text1"/>
          <w:kern w:val="2"/>
          <w:sz w:val="20"/>
          <w:lang w:val="en-US"/>
        </w:rPr>
        <w:t xml:space="preserve"> In an extreme situation when no CBRS channels are available, fallback option to switch to different network/frequency band would be necessary. </w:t>
      </w:r>
    </w:p>
    <w:p w14:paraId="0DDB2B5D" w14:textId="1FD39394" w:rsidR="00347C06" w:rsidRDefault="00347C06" w:rsidP="00347C06">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6</w:t>
      </w:r>
      <w:r w:rsidRPr="00373C2B">
        <w:rPr>
          <w:snapToGrid/>
          <w:color w:val="000000" w:themeColor="text1"/>
          <w:kern w:val="2"/>
          <w:sz w:val="20"/>
          <w:lang w:val="en-US"/>
        </w:rPr>
        <w:t>:</w:t>
      </w:r>
      <w:r>
        <w:rPr>
          <w:snapToGrid/>
          <w:color w:val="000000" w:themeColor="text1"/>
          <w:kern w:val="2"/>
          <w:sz w:val="20"/>
          <w:lang w:val="en-US"/>
        </w:rPr>
        <w:t xml:space="preserve"> 10 MHz system bandwidth support is necessary for NR to operate in 3.5 GHz CBRS band.</w:t>
      </w:r>
    </w:p>
    <w:p w14:paraId="1F448796" w14:textId="6B3187C1" w:rsidR="00347C06" w:rsidRPr="002963A1" w:rsidRDefault="00347C06" w:rsidP="002963A1">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sidR="007B6B89">
        <w:rPr>
          <w:snapToGrid/>
          <w:color w:val="000000" w:themeColor="text1"/>
          <w:kern w:val="2"/>
          <w:sz w:val="20"/>
          <w:lang w:val="en-US"/>
        </w:rPr>
        <w:t>7</w:t>
      </w:r>
      <w:r w:rsidRPr="00373C2B">
        <w:rPr>
          <w:snapToGrid/>
          <w:color w:val="000000" w:themeColor="text1"/>
          <w:kern w:val="2"/>
          <w:sz w:val="20"/>
          <w:lang w:val="en-US"/>
        </w:rPr>
        <w:t>:</w:t>
      </w:r>
      <w:r>
        <w:rPr>
          <w:snapToGrid/>
          <w:color w:val="000000" w:themeColor="text1"/>
          <w:kern w:val="2"/>
          <w:sz w:val="20"/>
          <w:lang w:val="en-US"/>
        </w:rPr>
        <w:t xml:space="preserve"> Mechanism for group handover or </w:t>
      </w:r>
      <w:r w:rsidR="002963A1">
        <w:rPr>
          <w:snapToGrid/>
          <w:color w:val="000000" w:themeColor="text1"/>
          <w:kern w:val="2"/>
          <w:sz w:val="20"/>
          <w:lang w:val="en-US"/>
        </w:rPr>
        <w:t>fallback option to switch</w:t>
      </w:r>
      <w:r w:rsidR="001A2D6C">
        <w:rPr>
          <w:snapToGrid/>
          <w:color w:val="000000" w:themeColor="text1"/>
          <w:kern w:val="2"/>
          <w:sz w:val="20"/>
          <w:lang w:val="en-US"/>
        </w:rPr>
        <w:t xml:space="preserve"> to</w:t>
      </w:r>
      <w:r w:rsidR="002963A1">
        <w:rPr>
          <w:snapToGrid/>
          <w:color w:val="000000" w:themeColor="text1"/>
          <w:kern w:val="2"/>
          <w:sz w:val="20"/>
          <w:lang w:val="en-US"/>
        </w:rPr>
        <w:t xml:space="preserve"> different network/frequency band will be necessary for NR to operate in 3.5 GHz CBRS band.</w:t>
      </w:r>
    </w:p>
    <w:p w14:paraId="605AD43D" w14:textId="77777777" w:rsidR="00760726" w:rsidRPr="00FC7BBB" w:rsidRDefault="00760726" w:rsidP="00760726">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5A04FC2F" w14:textId="184281B6" w:rsidR="00693FA5" w:rsidRDefault="002963A1" w:rsidP="002963A1">
      <w:pPr>
        <w:pStyle w:val="LGTdoc1"/>
        <w:spacing w:before="120" w:after="0"/>
        <w:rPr>
          <w:b w:val="0"/>
          <w:sz w:val="20"/>
          <w:lang w:val="en-US"/>
        </w:rPr>
      </w:pPr>
      <w:r w:rsidRPr="002963A1">
        <w:rPr>
          <w:b w:val="0"/>
          <w:sz w:val="20"/>
          <w:lang w:val="en-US"/>
        </w:rPr>
        <w:t>In this contribution, we discuss</w:t>
      </w:r>
      <w:r w:rsidR="003438B0">
        <w:rPr>
          <w:b w:val="0"/>
          <w:sz w:val="20"/>
          <w:lang w:val="en-US"/>
        </w:rPr>
        <w:t>ed</w:t>
      </w:r>
      <w:r w:rsidRPr="002963A1">
        <w:rPr>
          <w:b w:val="0"/>
          <w:sz w:val="20"/>
          <w:lang w:val="en-US"/>
        </w:rPr>
        <w:t xml:space="preserve"> forward compatibility considerations for the NR Phase I design </w:t>
      </w:r>
      <w:r>
        <w:rPr>
          <w:b w:val="0"/>
          <w:sz w:val="20"/>
          <w:lang w:val="en-US"/>
        </w:rPr>
        <w:t xml:space="preserve">for </w:t>
      </w:r>
      <w:r w:rsidRPr="002963A1">
        <w:rPr>
          <w:b w:val="0"/>
          <w:sz w:val="20"/>
          <w:lang w:val="en-US"/>
        </w:rPr>
        <w:t>NR operation in unlicen</w:t>
      </w:r>
      <w:r>
        <w:rPr>
          <w:b w:val="0"/>
          <w:sz w:val="20"/>
          <w:lang w:val="en-US"/>
        </w:rPr>
        <w:t>sed spectrum in the later phase. W</w:t>
      </w:r>
      <w:r w:rsidRPr="002963A1">
        <w:rPr>
          <w:b w:val="0"/>
          <w:sz w:val="20"/>
          <w:lang w:val="en-US"/>
        </w:rPr>
        <w:t xml:space="preserve">e </w:t>
      </w:r>
      <w:r>
        <w:rPr>
          <w:b w:val="0"/>
          <w:sz w:val="20"/>
          <w:lang w:val="en-US"/>
        </w:rPr>
        <w:t>first revisited</w:t>
      </w:r>
      <w:r w:rsidRPr="002963A1">
        <w:rPr>
          <w:b w:val="0"/>
          <w:sz w:val="20"/>
          <w:lang w:val="en-US"/>
        </w:rPr>
        <w:t xml:space="preserve"> what the technical difficulties were during the Release 13/14 LTE LAA design and consequent inefficiencies. </w:t>
      </w:r>
      <w:r w:rsidR="00693FA5">
        <w:rPr>
          <w:b w:val="0"/>
          <w:sz w:val="20"/>
          <w:lang w:val="en-US"/>
        </w:rPr>
        <w:t xml:space="preserve">After that, </w:t>
      </w:r>
      <w:r w:rsidR="00693FA5" w:rsidRPr="002963A1">
        <w:rPr>
          <w:b w:val="0"/>
          <w:sz w:val="20"/>
          <w:lang w:val="en-US"/>
        </w:rPr>
        <w:t>we explore</w:t>
      </w:r>
      <w:r w:rsidR="007B6B89">
        <w:rPr>
          <w:b w:val="0"/>
          <w:sz w:val="20"/>
          <w:lang w:val="en-US"/>
        </w:rPr>
        <w:t xml:space="preserve"> other</w:t>
      </w:r>
      <w:r w:rsidR="00693FA5" w:rsidRPr="002963A1">
        <w:rPr>
          <w:b w:val="0"/>
          <w:sz w:val="20"/>
          <w:lang w:val="en-US"/>
        </w:rPr>
        <w:t xml:space="preserve"> unlicensed spectrum</w:t>
      </w:r>
      <w:r w:rsidR="00693FA5">
        <w:rPr>
          <w:b w:val="0"/>
          <w:sz w:val="20"/>
          <w:lang w:val="en-US"/>
        </w:rPr>
        <w:t xml:space="preserve"> than 5 GHz band such as </w:t>
      </w:r>
      <w:r w:rsidR="00693FA5" w:rsidRPr="002963A1">
        <w:rPr>
          <w:b w:val="0"/>
          <w:sz w:val="20"/>
          <w:lang w:val="en-US"/>
        </w:rPr>
        <w:t>60 GHz unlicensed spectrum a</w:t>
      </w:r>
      <w:r w:rsidR="00693FA5">
        <w:rPr>
          <w:b w:val="0"/>
          <w:sz w:val="20"/>
          <w:lang w:val="en-US"/>
        </w:rPr>
        <w:t>nd 3.5 GHz CBRS band in U.S.,</w:t>
      </w:r>
      <w:r w:rsidR="00693FA5" w:rsidRPr="002963A1">
        <w:rPr>
          <w:b w:val="0"/>
          <w:sz w:val="20"/>
          <w:lang w:val="en-US"/>
        </w:rPr>
        <w:t xml:space="preserve"> that can be also considered for NR to operate.</w:t>
      </w:r>
      <w:r w:rsidR="00693FA5">
        <w:rPr>
          <w:b w:val="0"/>
          <w:sz w:val="20"/>
          <w:lang w:val="en-US"/>
        </w:rPr>
        <w:t xml:space="preserve"> </w:t>
      </w:r>
      <w:r w:rsidR="007B6B89">
        <w:rPr>
          <w:b w:val="0"/>
          <w:sz w:val="20"/>
          <w:lang w:val="en-US"/>
        </w:rPr>
        <w:t xml:space="preserve">To this end, we made the following </w:t>
      </w:r>
      <w:r w:rsidR="007B6B89" w:rsidRPr="002963A1">
        <w:rPr>
          <w:b w:val="0"/>
          <w:sz w:val="20"/>
          <w:lang w:val="en-US"/>
        </w:rPr>
        <w:t xml:space="preserve">suggestions on forward compatibility considerations </w:t>
      </w:r>
      <w:r w:rsidR="007B6B89">
        <w:rPr>
          <w:b w:val="0"/>
          <w:sz w:val="20"/>
          <w:lang w:val="en-US"/>
        </w:rPr>
        <w:t>for NR</w:t>
      </w:r>
      <w:r w:rsidR="007B6B89" w:rsidRPr="002963A1">
        <w:rPr>
          <w:b w:val="0"/>
          <w:sz w:val="20"/>
          <w:lang w:val="en-US"/>
        </w:rPr>
        <w:t>.</w:t>
      </w:r>
    </w:p>
    <w:p w14:paraId="6EFC4B19" w14:textId="6B522338" w:rsidR="007B6B89" w:rsidRPr="00DB586C" w:rsidRDefault="007B6B89" w:rsidP="007B6B89">
      <w:pPr>
        <w:pStyle w:val="LGTdoc1"/>
        <w:spacing w:beforeLines="0" w:before="240" w:after="240" w:afterAutospacing="0"/>
        <w:rPr>
          <w:snapToGrid/>
          <w:color w:val="000000" w:themeColor="text1"/>
          <w:kern w:val="2"/>
          <w:sz w:val="20"/>
          <w:lang w:val="en-US"/>
        </w:rPr>
      </w:pPr>
      <w:r w:rsidRPr="00DB586C">
        <w:rPr>
          <w:snapToGrid/>
          <w:color w:val="000000" w:themeColor="text1"/>
          <w:kern w:val="2"/>
          <w:sz w:val="20"/>
          <w:lang w:val="en-US"/>
        </w:rPr>
        <w:t>Suggestion 1:</w:t>
      </w:r>
      <w:r>
        <w:rPr>
          <w:snapToGrid/>
          <w:color w:val="000000" w:themeColor="text1"/>
          <w:kern w:val="2"/>
          <w:sz w:val="20"/>
          <w:lang w:val="en-US"/>
        </w:rPr>
        <w:t xml:space="preserve"> Wide subcarrier spacing for NR, or equivalently reduced TTI for </w:t>
      </w:r>
      <w:r w:rsidR="00BC165A">
        <w:rPr>
          <w:snapToGrid/>
          <w:color w:val="000000" w:themeColor="text1"/>
          <w:kern w:val="2"/>
          <w:sz w:val="20"/>
          <w:lang w:val="en-US"/>
        </w:rPr>
        <w:t>a</w:t>
      </w:r>
      <w:r>
        <w:rPr>
          <w:snapToGrid/>
          <w:color w:val="000000" w:themeColor="text1"/>
          <w:kern w:val="2"/>
          <w:sz w:val="20"/>
          <w:lang w:val="en-US"/>
        </w:rPr>
        <w:t xml:space="preserve"> given number of symbols, </w:t>
      </w:r>
      <w:r w:rsidRPr="00BC2013">
        <w:rPr>
          <w:snapToGrid/>
          <w:color w:val="000000" w:themeColor="text1"/>
          <w:kern w:val="2"/>
          <w:sz w:val="20"/>
          <w:lang w:val="en-US"/>
        </w:rPr>
        <w:t>can naturally resolve the inefficiency issue</w:t>
      </w:r>
      <w:r>
        <w:rPr>
          <w:snapToGrid/>
          <w:color w:val="000000" w:themeColor="text1"/>
          <w:kern w:val="2"/>
          <w:sz w:val="20"/>
          <w:lang w:val="en-US"/>
        </w:rPr>
        <w:t xml:space="preserve"> due to the fixed TTI boundary</w:t>
      </w:r>
      <w:r w:rsidRPr="00BC2013">
        <w:rPr>
          <w:snapToGrid/>
          <w:color w:val="000000" w:themeColor="text1"/>
          <w:kern w:val="2"/>
          <w:sz w:val="20"/>
          <w:lang w:val="en-US"/>
        </w:rPr>
        <w:t xml:space="preserve"> to some extend without introducing initial partial subframe</w:t>
      </w:r>
      <w:r>
        <w:rPr>
          <w:snapToGrid/>
          <w:color w:val="000000" w:themeColor="text1"/>
          <w:kern w:val="2"/>
          <w:sz w:val="20"/>
          <w:lang w:val="en-US"/>
        </w:rPr>
        <w:t xml:space="preserve"> concept</w:t>
      </w:r>
      <w:r w:rsidRPr="00BC2013">
        <w:rPr>
          <w:snapToGrid/>
          <w:color w:val="000000" w:themeColor="text1"/>
          <w:kern w:val="2"/>
          <w:sz w:val="20"/>
          <w:lang w:val="en-US"/>
        </w:rPr>
        <w:t xml:space="preserve"> as in LTE</w:t>
      </w:r>
      <w:r>
        <w:rPr>
          <w:snapToGrid/>
          <w:color w:val="000000" w:themeColor="text1"/>
          <w:kern w:val="2"/>
          <w:sz w:val="20"/>
          <w:lang w:val="en-US"/>
        </w:rPr>
        <w:t xml:space="preserve"> Release 13 for</w:t>
      </w:r>
      <w:r w:rsidRPr="00BC2013">
        <w:rPr>
          <w:snapToGrid/>
          <w:color w:val="000000" w:themeColor="text1"/>
          <w:kern w:val="2"/>
          <w:sz w:val="20"/>
          <w:lang w:val="en-US"/>
        </w:rPr>
        <w:t xml:space="preserve"> LAA.</w:t>
      </w:r>
    </w:p>
    <w:p w14:paraId="4947C4E7" w14:textId="419F45CC" w:rsidR="007B6B89" w:rsidRPr="00373C2B"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2: Shortened TTI support can further resolve the inefficiency issue due to the fixed TTI boundary. Small packet transmission can be </w:t>
      </w:r>
      <w:r w:rsidR="00BC165A">
        <w:rPr>
          <w:snapToGrid/>
          <w:color w:val="000000" w:themeColor="text1"/>
          <w:kern w:val="2"/>
          <w:sz w:val="20"/>
          <w:lang w:val="en-US"/>
        </w:rPr>
        <w:t>benefited from</w:t>
      </w:r>
      <w:r w:rsidRPr="00373C2B">
        <w:rPr>
          <w:snapToGrid/>
          <w:color w:val="000000" w:themeColor="text1"/>
          <w:kern w:val="2"/>
          <w:sz w:val="20"/>
          <w:lang w:val="en-US"/>
        </w:rPr>
        <w:t xml:space="preserve"> shortened TTI.  </w:t>
      </w:r>
    </w:p>
    <w:p w14:paraId="4A49CA30" w14:textId="77777777" w:rsidR="007B6B89" w:rsidRPr="00667E78"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3</w:t>
      </w:r>
      <w:r w:rsidRPr="00373C2B">
        <w:rPr>
          <w:snapToGrid/>
          <w:color w:val="000000" w:themeColor="text1"/>
          <w:kern w:val="2"/>
          <w:sz w:val="20"/>
          <w:lang w:val="en-US"/>
        </w:rPr>
        <w:t xml:space="preserve">: </w:t>
      </w:r>
      <w:r>
        <w:rPr>
          <w:snapToGrid/>
          <w:color w:val="000000" w:themeColor="text1"/>
          <w:kern w:val="2"/>
          <w:sz w:val="20"/>
          <w:lang w:val="en-US"/>
        </w:rPr>
        <w:t xml:space="preserve">Flexible TTI support can be useful for NR operation in unlicensed spectrum, which can be used for not only shortening the TTI but also extending the TTI in a dynamic manner.  </w:t>
      </w:r>
    </w:p>
    <w:p w14:paraId="55E5018F" w14:textId="77777777" w:rsidR="003438B0" w:rsidRPr="005D779A" w:rsidRDefault="003438B0" w:rsidP="003438B0">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4</w:t>
      </w:r>
      <w:r w:rsidRPr="00373C2B">
        <w:rPr>
          <w:snapToGrid/>
          <w:color w:val="000000" w:themeColor="text1"/>
          <w:kern w:val="2"/>
          <w:sz w:val="20"/>
          <w:lang w:val="en-US"/>
        </w:rPr>
        <w:t xml:space="preserve">: </w:t>
      </w:r>
      <w:r w:rsidRPr="005D779A">
        <w:rPr>
          <w:snapToGrid/>
          <w:color w:val="000000" w:themeColor="text1"/>
          <w:kern w:val="2"/>
          <w:sz w:val="20"/>
          <w:lang w:val="en-US"/>
        </w:rPr>
        <w:t>NR uplink physical channel designs that can not only</w:t>
      </w:r>
      <w:r>
        <w:rPr>
          <w:snapToGrid/>
          <w:color w:val="000000" w:themeColor="text1"/>
          <w:kern w:val="2"/>
          <w:sz w:val="20"/>
          <w:lang w:val="en-US"/>
        </w:rPr>
        <w:t xml:space="preserve"> work</w:t>
      </w:r>
      <w:r w:rsidRPr="005D779A">
        <w:rPr>
          <w:snapToGrid/>
          <w:color w:val="000000" w:themeColor="text1"/>
          <w:kern w:val="2"/>
          <w:sz w:val="20"/>
          <w:lang w:val="en-US"/>
        </w:rPr>
        <w:t xml:space="preserve"> for narrow bandwidth but also naturally extend </w:t>
      </w:r>
      <w:r>
        <w:rPr>
          <w:snapToGrid/>
          <w:color w:val="000000" w:themeColor="text1"/>
          <w:kern w:val="2"/>
          <w:sz w:val="20"/>
          <w:lang w:val="en-US"/>
        </w:rPr>
        <w:t>for</w:t>
      </w:r>
      <w:r w:rsidRPr="005D779A">
        <w:rPr>
          <w:snapToGrid/>
          <w:color w:val="000000" w:themeColor="text1"/>
          <w:kern w:val="2"/>
          <w:sz w:val="20"/>
          <w:lang w:val="en-US"/>
        </w:rPr>
        <w:t xml:space="preserve"> wide bandwidth</w:t>
      </w:r>
      <w:r>
        <w:rPr>
          <w:snapToGrid/>
          <w:color w:val="000000" w:themeColor="text1"/>
          <w:kern w:val="2"/>
          <w:sz w:val="20"/>
          <w:lang w:val="en-US"/>
        </w:rPr>
        <w:t xml:space="preserve"> operation</w:t>
      </w:r>
      <w:r w:rsidRPr="005D779A">
        <w:rPr>
          <w:snapToGrid/>
          <w:color w:val="000000" w:themeColor="text1"/>
          <w:kern w:val="2"/>
          <w:sz w:val="20"/>
          <w:lang w:val="en-US"/>
        </w:rPr>
        <w:t xml:space="preserve"> </w:t>
      </w:r>
      <w:r>
        <w:rPr>
          <w:snapToGrid/>
          <w:color w:val="000000" w:themeColor="text1"/>
          <w:kern w:val="2"/>
          <w:sz w:val="20"/>
          <w:lang w:val="en-US"/>
        </w:rPr>
        <w:t>shall</w:t>
      </w:r>
      <w:r w:rsidRPr="005D779A">
        <w:rPr>
          <w:snapToGrid/>
          <w:color w:val="000000" w:themeColor="text1"/>
          <w:kern w:val="2"/>
          <w:sz w:val="20"/>
          <w:lang w:val="en-US"/>
        </w:rPr>
        <w:t xml:space="preserve"> be</w:t>
      </w:r>
      <w:r>
        <w:rPr>
          <w:snapToGrid/>
          <w:color w:val="000000" w:themeColor="text1"/>
          <w:kern w:val="2"/>
          <w:sz w:val="20"/>
          <w:lang w:val="en-US"/>
        </w:rPr>
        <w:t xml:space="preserve"> helpful for NR to meet the Occupied Channel Bandwidth regulation by EU on 5 GHz band. </w:t>
      </w:r>
    </w:p>
    <w:p w14:paraId="25F29E00" w14:textId="0D7DEAEF" w:rsidR="007B6B89" w:rsidRPr="00603A6D"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5</w:t>
      </w:r>
      <w:r w:rsidRPr="00373C2B">
        <w:rPr>
          <w:snapToGrid/>
          <w:color w:val="000000" w:themeColor="text1"/>
          <w:kern w:val="2"/>
          <w:sz w:val="20"/>
          <w:lang w:val="en-US"/>
        </w:rPr>
        <w:t>:</w:t>
      </w:r>
      <w:r>
        <w:rPr>
          <w:snapToGrid/>
          <w:color w:val="000000" w:themeColor="text1"/>
          <w:kern w:val="2"/>
          <w:sz w:val="20"/>
          <w:lang w:val="en-US"/>
        </w:rPr>
        <w:t xml:space="preserve"> It is envisioned that NR design for mmWave can work in 60 GHz </w:t>
      </w:r>
      <w:r w:rsidR="001A2D6C">
        <w:rPr>
          <w:snapToGrid/>
          <w:color w:val="000000" w:themeColor="text1"/>
          <w:kern w:val="2"/>
          <w:sz w:val="20"/>
          <w:lang w:val="en-US"/>
        </w:rPr>
        <w:t>unlicensed</w:t>
      </w:r>
      <w:r>
        <w:rPr>
          <w:snapToGrid/>
          <w:color w:val="000000" w:themeColor="text1"/>
          <w:kern w:val="2"/>
          <w:sz w:val="20"/>
          <w:lang w:val="en-US"/>
        </w:rPr>
        <w:t xml:space="preserve"> band without much modification. </w:t>
      </w:r>
      <w:r w:rsidRPr="00603A6D">
        <w:rPr>
          <w:snapToGrid/>
          <w:color w:val="000000" w:themeColor="text1"/>
          <w:kern w:val="2"/>
          <w:sz w:val="20"/>
          <w:lang w:val="en-US"/>
        </w:rPr>
        <w:t>The 2.16 GHz channel bandwidth in 60 GHz unlicensed spectrum</w:t>
      </w:r>
      <w:r>
        <w:rPr>
          <w:snapToGrid/>
          <w:color w:val="000000" w:themeColor="text1"/>
          <w:kern w:val="2"/>
          <w:sz w:val="20"/>
          <w:lang w:val="en-US"/>
        </w:rPr>
        <w:t xml:space="preserve"> can be taken into consideration.</w:t>
      </w:r>
    </w:p>
    <w:p w14:paraId="011DDCE9" w14:textId="77777777" w:rsidR="007B6B89"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6</w:t>
      </w:r>
      <w:r w:rsidRPr="00373C2B">
        <w:rPr>
          <w:snapToGrid/>
          <w:color w:val="000000" w:themeColor="text1"/>
          <w:kern w:val="2"/>
          <w:sz w:val="20"/>
          <w:lang w:val="en-US"/>
        </w:rPr>
        <w:t>:</w:t>
      </w:r>
      <w:r>
        <w:rPr>
          <w:snapToGrid/>
          <w:color w:val="000000" w:themeColor="text1"/>
          <w:kern w:val="2"/>
          <w:sz w:val="20"/>
          <w:lang w:val="en-US"/>
        </w:rPr>
        <w:t xml:space="preserve"> 10 MHz system bandwidth support is necessary for NR to operate in 3.5 GHz CBRS band.</w:t>
      </w:r>
    </w:p>
    <w:p w14:paraId="198B9A24" w14:textId="6631F4FE" w:rsidR="00915C3F" w:rsidRPr="007B6B89" w:rsidRDefault="007B6B89" w:rsidP="007B6B89">
      <w:pPr>
        <w:pStyle w:val="LGTdoc1"/>
        <w:spacing w:beforeLines="0" w:before="240" w:after="240" w:afterAutospacing="0"/>
        <w:rPr>
          <w:snapToGrid/>
          <w:color w:val="000000" w:themeColor="text1"/>
          <w:kern w:val="2"/>
          <w:sz w:val="20"/>
          <w:lang w:val="en-US"/>
        </w:rPr>
      </w:pPr>
      <w:r w:rsidRPr="00373C2B">
        <w:rPr>
          <w:snapToGrid/>
          <w:color w:val="000000" w:themeColor="text1"/>
          <w:kern w:val="2"/>
          <w:sz w:val="20"/>
          <w:lang w:val="en-US"/>
        </w:rPr>
        <w:t xml:space="preserve">Suggestion </w:t>
      </w:r>
      <w:r>
        <w:rPr>
          <w:snapToGrid/>
          <w:color w:val="000000" w:themeColor="text1"/>
          <w:kern w:val="2"/>
          <w:sz w:val="20"/>
          <w:lang w:val="en-US"/>
        </w:rPr>
        <w:t>7</w:t>
      </w:r>
      <w:r w:rsidRPr="00373C2B">
        <w:rPr>
          <w:snapToGrid/>
          <w:color w:val="000000" w:themeColor="text1"/>
          <w:kern w:val="2"/>
          <w:sz w:val="20"/>
          <w:lang w:val="en-US"/>
        </w:rPr>
        <w:t>:</w:t>
      </w:r>
      <w:r>
        <w:rPr>
          <w:snapToGrid/>
          <w:color w:val="000000" w:themeColor="text1"/>
          <w:kern w:val="2"/>
          <w:sz w:val="20"/>
          <w:lang w:val="en-US"/>
        </w:rPr>
        <w:t xml:space="preserve"> Mechanism for group handover or fallback option to switch</w:t>
      </w:r>
      <w:r w:rsidR="001A2D6C">
        <w:rPr>
          <w:snapToGrid/>
          <w:color w:val="000000" w:themeColor="text1"/>
          <w:kern w:val="2"/>
          <w:sz w:val="20"/>
          <w:lang w:val="en-US"/>
        </w:rPr>
        <w:t xml:space="preserve"> to</w:t>
      </w:r>
      <w:r>
        <w:rPr>
          <w:snapToGrid/>
          <w:color w:val="000000" w:themeColor="text1"/>
          <w:kern w:val="2"/>
          <w:sz w:val="20"/>
          <w:lang w:val="en-US"/>
        </w:rPr>
        <w:t xml:space="preserve"> different network/frequency band will be necessary for NR to operate in 3.5 GHz CBRS band.</w:t>
      </w: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lastRenderedPageBreak/>
        <w:t>References</w:t>
      </w:r>
      <w:bookmarkEnd w:id="0"/>
      <w:bookmarkEnd w:id="1"/>
    </w:p>
    <w:p w14:paraId="2536BF66" w14:textId="46B2D401" w:rsidR="00970EC2"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xml:space="preserve">, </w:t>
      </w:r>
      <w:r w:rsidR="00434499" w:rsidRPr="00434499">
        <w:rPr>
          <w:sz w:val="20"/>
        </w:rPr>
        <w:t>3GPP TSG RAN WG1 Meeting #85</w:t>
      </w:r>
      <w:r w:rsidR="00434499">
        <w:rPr>
          <w:sz w:val="20"/>
        </w:rPr>
        <w:t>, May 2016.</w:t>
      </w:r>
    </w:p>
    <w:p w14:paraId="40596FDD" w14:textId="047FFDC2" w:rsidR="006266E5" w:rsidRDefault="00973BFE" w:rsidP="00595093">
      <w:pPr>
        <w:pStyle w:val="LGTdoc"/>
        <w:spacing w:before="120" w:after="120"/>
        <w:ind w:left="300" w:hangingChars="150" w:hanging="300"/>
        <w:jc w:val="left"/>
        <w:rPr>
          <w:sz w:val="20"/>
        </w:rPr>
      </w:pPr>
      <w:r>
        <w:rPr>
          <w:sz w:val="20"/>
        </w:rPr>
        <w:t xml:space="preserve">[2] 3GPP TR 36.881, Study </w:t>
      </w:r>
      <w:r w:rsidRPr="00973BFE">
        <w:rPr>
          <w:sz w:val="20"/>
        </w:rPr>
        <w:t>on latency reduction techniques for LTE</w:t>
      </w:r>
      <w:r>
        <w:rPr>
          <w:sz w:val="20"/>
        </w:rPr>
        <w:t>, V1.0.0, May 2016.</w:t>
      </w:r>
    </w:p>
    <w:p w14:paraId="16F99D3F" w14:textId="65B73FC8" w:rsidR="00CD2D49" w:rsidRDefault="00CD2D49" w:rsidP="00595093">
      <w:pPr>
        <w:pStyle w:val="LGTdoc"/>
        <w:spacing w:before="120" w:after="120"/>
        <w:ind w:left="300" w:hangingChars="150" w:hanging="300"/>
        <w:jc w:val="left"/>
        <w:rPr>
          <w:sz w:val="20"/>
        </w:rPr>
      </w:pPr>
      <w:r>
        <w:rPr>
          <w:sz w:val="20"/>
        </w:rPr>
        <w:t>[3] IEEE Std 802.11ad</w:t>
      </w:r>
      <w:r w:rsidRPr="00CD2D49">
        <w:rPr>
          <w:sz w:val="20"/>
          <w:vertAlign w:val="superscript"/>
        </w:rPr>
        <w:t>TM</w:t>
      </w:r>
      <w:r>
        <w:rPr>
          <w:sz w:val="20"/>
        </w:rPr>
        <w:t>-2012, Amendment 3: Enhancements for Very High Throughput in the 60 GHz Band</w:t>
      </w:r>
    </w:p>
    <w:p w14:paraId="3EF0470B" w14:textId="209033CC" w:rsidR="00F10805" w:rsidRDefault="00F10805" w:rsidP="00595093">
      <w:pPr>
        <w:pStyle w:val="LGTdoc"/>
        <w:spacing w:before="120" w:after="120"/>
        <w:ind w:left="300" w:hangingChars="150" w:hanging="300"/>
        <w:jc w:val="left"/>
        <w:rPr>
          <w:sz w:val="20"/>
        </w:rPr>
      </w:pPr>
      <w:r>
        <w:rPr>
          <w:sz w:val="20"/>
        </w:rPr>
        <w:t xml:space="preserve">[4] ETSI EN 302 567, </w:t>
      </w:r>
      <w:r w:rsidRPr="00F10805">
        <w:rPr>
          <w:sz w:val="20"/>
        </w:rPr>
        <w:t>Broadband Radio Access Networks (BRAN) - 60 GHz Multiple-Gigabit WAS/RLAN Systems, V1.2.1, Jan. 2012</w:t>
      </w:r>
    </w:p>
    <w:p w14:paraId="1F7C0DB5" w14:textId="3FE23319" w:rsidR="00C46B75" w:rsidRPr="00C46B75" w:rsidRDefault="00C46B75" w:rsidP="00C46B75">
      <w:pPr>
        <w:overflowPunct/>
        <w:spacing w:after="0"/>
        <w:textAlignment w:val="auto"/>
        <w:rPr>
          <w:rFonts w:eastAsia="Batang"/>
          <w:kern w:val="2"/>
          <w:szCs w:val="24"/>
          <w:lang w:eastAsia="ko-KR"/>
        </w:rPr>
      </w:pPr>
      <w:r w:rsidRPr="00C46B75">
        <w:rPr>
          <w:rFonts w:eastAsia="Batang"/>
          <w:kern w:val="2"/>
          <w:szCs w:val="24"/>
          <w:lang w:eastAsia="ko-KR"/>
        </w:rPr>
        <w:t>[5] Report ITU-R M.2227, Multiple Gigabit Wireless Systems in frequencies around 60 GHz, Nov. 2011</w:t>
      </w:r>
    </w:p>
    <w:p w14:paraId="422559E3" w14:textId="223AFE57" w:rsidR="00385823" w:rsidRPr="00915C3F" w:rsidRDefault="00EF587C" w:rsidP="00915C3F">
      <w:pPr>
        <w:pStyle w:val="LGTdoc"/>
        <w:spacing w:before="120" w:after="120"/>
        <w:ind w:left="300" w:hangingChars="150" w:hanging="300"/>
        <w:jc w:val="left"/>
        <w:rPr>
          <w:sz w:val="20"/>
        </w:rPr>
      </w:pPr>
      <w:r w:rsidRPr="00EF587C">
        <w:rPr>
          <w:sz w:val="20"/>
        </w:rPr>
        <w:t>[</w:t>
      </w:r>
      <w:r>
        <w:rPr>
          <w:sz w:val="20"/>
        </w:rPr>
        <w:t>6</w:t>
      </w:r>
      <w:r w:rsidRPr="00EF587C">
        <w:rPr>
          <w:sz w:val="20"/>
        </w:rPr>
        <w:t>] FCC 16-55, O</w:t>
      </w:r>
      <w:r w:rsidR="00832E13">
        <w:rPr>
          <w:sz w:val="20"/>
        </w:rPr>
        <w:t>rder on reconsideration and second report and order</w:t>
      </w:r>
      <w:r w:rsidRPr="00EF587C">
        <w:rPr>
          <w:sz w:val="20"/>
        </w:rPr>
        <w:t>, May 2016</w:t>
      </w:r>
    </w:p>
    <w:sectPr w:rsidR="00385823" w:rsidRPr="00915C3F" w:rsidSect="00FC27AE">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53E7D" w14:textId="77777777" w:rsidR="003F0B14" w:rsidRDefault="003F0B14">
      <w:r>
        <w:separator/>
      </w:r>
    </w:p>
  </w:endnote>
  <w:endnote w:type="continuationSeparator" w:id="0">
    <w:p w14:paraId="16E6A0A5" w14:textId="77777777" w:rsidR="003F0B14" w:rsidRDefault="003F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CBB89" w14:textId="77777777" w:rsidR="00C46B75" w:rsidRPr="00500B5E" w:rsidRDefault="00C46B75" w:rsidP="00500B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05142D6" w:rsidR="00C46B75" w:rsidRPr="00500B5E" w:rsidRDefault="00C46B75" w:rsidP="00500B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A99F6" w14:textId="77777777" w:rsidR="00500B5E" w:rsidRDefault="00500B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3AD0B" w14:textId="77777777" w:rsidR="003F0B14" w:rsidRDefault="003F0B14">
      <w:r>
        <w:separator/>
      </w:r>
    </w:p>
  </w:footnote>
  <w:footnote w:type="continuationSeparator" w:id="0">
    <w:p w14:paraId="5D48CCEE" w14:textId="77777777" w:rsidR="003F0B14" w:rsidRDefault="003F0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87E0F17" w:rsidR="00C46B75" w:rsidRPr="00500B5E" w:rsidRDefault="00C46B75" w:rsidP="00500B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BFE57" w14:textId="77777777" w:rsidR="00500B5E" w:rsidRDefault="00500B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30B40" w14:textId="77777777" w:rsidR="00500B5E" w:rsidRDefault="00500B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558FC"/>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C65DE"/>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10280"/>
    <w:multiLevelType w:val="hybridMultilevel"/>
    <w:tmpl w:val="1DEAE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C6138"/>
    <w:multiLevelType w:val="hybridMultilevel"/>
    <w:tmpl w:val="5F386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64700"/>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3591F"/>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D3D11"/>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684B"/>
    <w:multiLevelType w:val="hybridMultilevel"/>
    <w:tmpl w:val="B934AB28"/>
    <w:lvl w:ilvl="0" w:tplc="884A226C">
      <w:start w:val="1"/>
      <w:numFmt w:val="bullet"/>
      <w:lvlText w:val="–"/>
      <w:lvlJc w:val="left"/>
      <w:pPr>
        <w:tabs>
          <w:tab w:val="num" w:pos="720"/>
        </w:tabs>
        <w:ind w:left="720" w:hanging="360"/>
      </w:pPr>
      <w:rPr>
        <w:rFonts w:ascii="Intel Clear" w:hAnsi="Intel Clear" w:hint="default"/>
      </w:rPr>
    </w:lvl>
    <w:lvl w:ilvl="1" w:tplc="D7B03CDC" w:tentative="1">
      <w:start w:val="1"/>
      <w:numFmt w:val="bullet"/>
      <w:lvlText w:val="–"/>
      <w:lvlJc w:val="left"/>
      <w:pPr>
        <w:tabs>
          <w:tab w:val="num" w:pos="1440"/>
        </w:tabs>
        <w:ind w:left="1440" w:hanging="360"/>
      </w:pPr>
      <w:rPr>
        <w:rFonts w:ascii="Intel Clear" w:hAnsi="Intel Clear" w:hint="default"/>
      </w:rPr>
    </w:lvl>
    <w:lvl w:ilvl="2" w:tplc="2D0C87BC">
      <w:start w:val="1"/>
      <w:numFmt w:val="bullet"/>
      <w:lvlText w:val="–"/>
      <w:lvlJc w:val="left"/>
      <w:pPr>
        <w:tabs>
          <w:tab w:val="num" w:pos="2160"/>
        </w:tabs>
        <w:ind w:left="2160" w:hanging="360"/>
      </w:pPr>
      <w:rPr>
        <w:rFonts w:ascii="Intel Clear" w:hAnsi="Intel Clear" w:hint="default"/>
      </w:rPr>
    </w:lvl>
    <w:lvl w:ilvl="3" w:tplc="B1C8DA6C" w:tentative="1">
      <w:start w:val="1"/>
      <w:numFmt w:val="bullet"/>
      <w:lvlText w:val="–"/>
      <w:lvlJc w:val="left"/>
      <w:pPr>
        <w:tabs>
          <w:tab w:val="num" w:pos="2880"/>
        </w:tabs>
        <w:ind w:left="2880" w:hanging="360"/>
      </w:pPr>
      <w:rPr>
        <w:rFonts w:ascii="Intel Clear" w:hAnsi="Intel Clear" w:hint="default"/>
      </w:rPr>
    </w:lvl>
    <w:lvl w:ilvl="4" w:tplc="FE9C5218" w:tentative="1">
      <w:start w:val="1"/>
      <w:numFmt w:val="bullet"/>
      <w:lvlText w:val="–"/>
      <w:lvlJc w:val="left"/>
      <w:pPr>
        <w:tabs>
          <w:tab w:val="num" w:pos="3600"/>
        </w:tabs>
        <w:ind w:left="3600" w:hanging="360"/>
      </w:pPr>
      <w:rPr>
        <w:rFonts w:ascii="Intel Clear" w:hAnsi="Intel Clear" w:hint="default"/>
      </w:rPr>
    </w:lvl>
    <w:lvl w:ilvl="5" w:tplc="FBEA04FA" w:tentative="1">
      <w:start w:val="1"/>
      <w:numFmt w:val="bullet"/>
      <w:lvlText w:val="–"/>
      <w:lvlJc w:val="left"/>
      <w:pPr>
        <w:tabs>
          <w:tab w:val="num" w:pos="4320"/>
        </w:tabs>
        <w:ind w:left="4320" w:hanging="360"/>
      </w:pPr>
      <w:rPr>
        <w:rFonts w:ascii="Intel Clear" w:hAnsi="Intel Clear" w:hint="default"/>
      </w:rPr>
    </w:lvl>
    <w:lvl w:ilvl="6" w:tplc="2A767372" w:tentative="1">
      <w:start w:val="1"/>
      <w:numFmt w:val="bullet"/>
      <w:lvlText w:val="–"/>
      <w:lvlJc w:val="left"/>
      <w:pPr>
        <w:tabs>
          <w:tab w:val="num" w:pos="5040"/>
        </w:tabs>
        <w:ind w:left="5040" w:hanging="360"/>
      </w:pPr>
      <w:rPr>
        <w:rFonts w:ascii="Intel Clear" w:hAnsi="Intel Clear" w:hint="default"/>
      </w:rPr>
    </w:lvl>
    <w:lvl w:ilvl="7" w:tplc="35347DC4" w:tentative="1">
      <w:start w:val="1"/>
      <w:numFmt w:val="bullet"/>
      <w:lvlText w:val="–"/>
      <w:lvlJc w:val="left"/>
      <w:pPr>
        <w:tabs>
          <w:tab w:val="num" w:pos="5760"/>
        </w:tabs>
        <w:ind w:left="5760" w:hanging="360"/>
      </w:pPr>
      <w:rPr>
        <w:rFonts w:ascii="Intel Clear" w:hAnsi="Intel Clear" w:hint="default"/>
      </w:rPr>
    </w:lvl>
    <w:lvl w:ilvl="8" w:tplc="5C348C78"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B46209"/>
    <w:multiLevelType w:val="hybridMultilevel"/>
    <w:tmpl w:val="736C81C2"/>
    <w:lvl w:ilvl="0" w:tplc="527A6A90">
      <w:start w:val="1"/>
      <w:numFmt w:val="bullet"/>
      <w:lvlText w:val="–"/>
      <w:lvlJc w:val="left"/>
      <w:pPr>
        <w:tabs>
          <w:tab w:val="num" w:pos="720"/>
        </w:tabs>
        <w:ind w:left="720" w:hanging="360"/>
      </w:pPr>
      <w:rPr>
        <w:rFonts w:ascii="Intel Clear" w:hAnsi="Intel Clear" w:hint="default"/>
      </w:rPr>
    </w:lvl>
    <w:lvl w:ilvl="1" w:tplc="7696C37E" w:tentative="1">
      <w:start w:val="1"/>
      <w:numFmt w:val="bullet"/>
      <w:lvlText w:val="–"/>
      <w:lvlJc w:val="left"/>
      <w:pPr>
        <w:tabs>
          <w:tab w:val="num" w:pos="1440"/>
        </w:tabs>
        <w:ind w:left="1440" w:hanging="360"/>
      </w:pPr>
      <w:rPr>
        <w:rFonts w:ascii="Intel Clear" w:hAnsi="Intel Clear" w:hint="default"/>
      </w:rPr>
    </w:lvl>
    <w:lvl w:ilvl="2" w:tplc="4EC68DAA">
      <w:start w:val="1"/>
      <w:numFmt w:val="bullet"/>
      <w:lvlText w:val="–"/>
      <w:lvlJc w:val="left"/>
      <w:pPr>
        <w:tabs>
          <w:tab w:val="num" w:pos="2160"/>
        </w:tabs>
        <w:ind w:left="2160" w:hanging="360"/>
      </w:pPr>
      <w:rPr>
        <w:rFonts w:ascii="Intel Clear" w:hAnsi="Intel Clear" w:hint="default"/>
      </w:rPr>
    </w:lvl>
    <w:lvl w:ilvl="3" w:tplc="166CB60C" w:tentative="1">
      <w:start w:val="1"/>
      <w:numFmt w:val="bullet"/>
      <w:lvlText w:val="–"/>
      <w:lvlJc w:val="left"/>
      <w:pPr>
        <w:tabs>
          <w:tab w:val="num" w:pos="2880"/>
        </w:tabs>
        <w:ind w:left="2880" w:hanging="360"/>
      </w:pPr>
      <w:rPr>
        <w:rFonts w:ascii="Intel Clear" w:hAnsi="Intel Clear" w:hint="default"/>
      </w:rPr>
    </w:lvl>
    <w:lvl w:ilvl="4" w:tplc="6CFC67D0" w:tentative="1">
      <w:start w:val="1"/>
      <w:numFmt w:val="bullet"/>
      <w:lvlText w:val="–"/>
      <w:lvlJc w:val="left"/>
      <w:pPr>
        <w:tabs>
          <w:tab w:val="num" w:pos="3600"/>
        </w:tabs>
        <w:ind w:left="3600" w:hanging="360"/>
      </w:pPr>
      <w:rPr>
        <w:rFonts w:ascii="Intel Clear" w:hAnsi="Intel Clear" w:hint="default"/>
      </w:rPr>
    </w:lvl>
    <w:lvl w:ilvl="5" w:tplc="3504259C" w:tentative="1">
      <w:start w:val="1"/>
      <w:numFmt w:val="bullet"/>
      <w:lvlText w:val="–"/>
      <w:lvlJc w:val="left"/>
      <w:pPr>
        <w:tabs>
          <w:tab w:val="num" w:pos="4320"/>
        </w:tabs>
        <w:ind w:left="4320" w:hanging="360"/>
      </w:pPr>
      <w:rPr>
        <w:rFonts w:ascii="Intel Clear" w:hAnsi="Intel Clear" w:hint="default"/>
      </w:rPr>
    </w:lvl>
    <w:lvl w:ilvl="6" w:tplc="42D2FCF0" w:tentative="1">
      <w:start w:val="1"/>
      <w:numFmt w:val="bullet"/>
      <w:lvlText w:val="–"/>
      <w:lvlJc w:val="left"/>
      <w:pPr>
        <w:tabs>
          <w:tab w:val="num" w:pos="5040"/>
        </w:tabs>
        <w:ind w:left="5040" w:hanging="360"/>
      </w:pPr>
      <w:rPr>
        <w:rFonts w:ascii="Intel Clear" w:hAnsi="Intel Clear" w:hint="default"/>
      </w:rPr>
    </w:lvl>
    <w:lvl w:ilvl="7" w:tplc="109CB77C" w:tentative="1">
      <w:start w:val="1"/>
      <w:numFmt w:val="bullet"/>
      <w:lvlText w:val="–"/>
      <w:lvlJc w:val="left"/>
      <w:pPr>
        <w:tabs>
          <w:tab w:val="num" w:pos="5760"/>
        </w:tabs>
        <w:ind w:left="5760" w:hanging="360"/>
      </w:pPr>
      <w:rPr>
        <w:rFonts w:ascii="Intel Clear" w:hAnsi="Intel Clear" w:hint="default"/>
      </w:rPr>
    </w:lvl>
    <w:lvl w:ilvl="8" w:tplc="C0B8F058" w:tentative="1">
      <w:start w:val="1"/>
      <w:numFmt w:val="bullet"/>
      <w:lvlText w:val="–"/>
      <w:lvlJc w:val="left"/>
      <w:pPr>
        <w:tabs>
          <w:tab w:val="num" w:pos="6480"/>
        </w:tabs>
        <w:ind w:left="6480" w:hanging="360"/>
      </w:pPr>
      <w:rPr>
        <w:rFonts w:ascii="Intel Clear" w:hAnsi="Intel Clear" w:hint="default"/>
      </w:rPr>
    </w:lvl>
  </w:abstractNum>
  <w:abstractNum w:abstractNumId="14" w15:restartNumberingAfterBreak="0">
    <w:nsid w:val="2C5565E4"/>
    <w:multiLevelType w:val="hybridMultilevel"/>
    <w:tmpl w:val="51C2F7B0"/>
    <w:lvl w:ilvl="0" w:tplc="A8266EEE">
      <w:start w:val="1"/>
      <w:numFmt w:val="bullet"/>
      <w:lvlText w:val="–"/>
      <w:lvlJc w:val="left"/>
      <w:pPr>
        <w:tabs>
          <w:tab w:val="num" w:pos="720"/>
        </w:tabs>
        <w:ind w:left="720" w:hanging="360"/>
      </w:pPr>
      <w:rPr>
        <w:rFonts w:ascii="Intel Clear" w:hAnsi="Intel Clear" w:hint="default"/>
      </w:rPr>
    </w:lvl>
    <w:lvl w:ilvl="1" w:tplc="4290226C" w:tentative="1">
      <w:start w:val="1"/>
      <w:numFmt w:val="bullet"/>
      <w:lvlText w:val="–"/>
      <w:lvlJc w:val="left"/>
      <w:pPr>
        <w:tabs>
          <w:tab w:val="num" w:pos="1440"/>
        </w:tabs>
        <w:ind w:left="1440" w:hanging="360"/>
      </w:pPr>
      <w:rPr>
        <w:rFonts w:ascii="Intel Clear" w:hAnsi="Intel Clear" w:hint="default"/>
      </w:rPr>
    </w:lvl>
    <w:lvl w:ilvl="2" w:tplc="094635BE">
      <w:start w:val="1"/>
      <w:numFmt w:val="bullet"/>
      <w:lvlText w:val="–"/>
      <w:lvlJc w:val="left"/>
      <w:pPr>
        <w:tabs>
          <w:tab w:val="num" w:pos="2160"/>
        </w:tabs>
        <w:ind w:left="2160" w:hanging="360"/>
      </w:pPr>
      <w:rPr>
        <w:rFonts w:ascii="Intel Clear" w:hAnsi="Intel Clear" w:hint="default"/>
      </w:rPr>
    </w:lvl>
    <w:lvl w:ilvl="3" w:tplc="2CD2D66E" w:tentative="1">
      <w:start w:val="1"/>
      <w:numFmt w:val="bullet"/>
      <w:lvlText w:val="–"/>
      <w:lvlJc w:val="left"/>
      <w:pPr>
        <w:tabs>
          <w:tab w:val="num" w:pos="2880"/>
        </w:tabs>
        <w:ind w:left="2880" w:hanging="360"/>
      </w:pPr>
      <w:rPr>
        <w:rFonts w:ascii="Intel Clear" w:hAnsi="Intel Clear" w:hint="default"/>
      </w:rPr>
    </w:lvl>
    <w:lvl w:ilvl="4" w:tplc="E2522858" w:tentative="1">
      <w:start w:val="1"/>
      <w:numFmt w:val="bullet"/>
      <w:lvlText w:val="–"/>
      <w:lvlJc w:val="left"/>
      <w:pPr>
        <w:tabs>
          <w:tab w:val="num" w:pos="3600"/>
        </w:tabs>
        <w:ind w:left="3600" w:hanging="360"/>
      </w:pPr>
      <w:rPr>
        <w:rFonts w:ascii="Intel Clear" w:hAnsi="Intel Clear" w:hint="default"/>
      </w:rPr>
    </w:lvl>
    <w:lvl w:ilvl="5" w:tplc="1C3C9B6E" w:tentative="1">
      <w:start w:val="1"/>
      <w:numFmt w:val="bullet"/>
      <w:lvlText w:val="–"/>
      <w:lvlJc w:val="left"/>
      <w:pPr>
        <w:tabs>
          <w:tab w:val="num" w:pos="4320"/>
        </w:tabs>
        <w:ind w:left="4320" w:hanging="360"/>
      </w:pPr>
      <w:rPr>
        <w:rFonts w:ascii="Intel Clear" w:hAnsi="Intel Clear" w:hint="default"/>
      </w:rPr>
    </w:lvl>
    <w:lvl w:ilvl="6" w:tplc="4398AD10" w:tentative="1">
      <w:start w:val="1"/>
      <w:numFmt w:val="bullet"/>
      <w:lvlText w:val="–"/>
      <w:lvlJc w:val="left"/>
      <w:pPr>
        <w:tabs>
          <w:tab w:val="num" w:pos="5040"/>
        </w:tabs>
        <w:ind w:left="5040" w:hanging="360"/>
      </w:pPr>
      <w:rPr>
        <w:rFonts w:ascii="Intel Clear" w:hAnsi="Intel Clear" w:hint="default"/>
      </w:rPr>
    </w:lvl>
    <w:lvl w:ilvl="7" w:tplc="D7E64990" w:tentative="1">
      <w:start w:val="1"/>
      <w:numFmt w:val="bullet"/>
      <w:lvlText w:val="–"/>
      <w:lvlJc w:val="left"/>
      <w:pPr>
        <w:tabs>
          <w:tab w:val="num" w:pos="5760"/>
        </w:tabs>
        <w:ind w:left="5760" w:hanging="360"/>
      </w:pPr>
      <w:rPr>
        <w:rFonts w:ascii="Intel Clear" w:hAnsi="Intel Clear" w:hint="default"/>
      </w:rPr>
    </w:lvl>
    <w:lvl w:ilvl="8" w:tplc="6A7203CC" w:tentative="1">
      <w:start w:val="1"/>
      <w:numFmt w:val="bullet"/>
      <w:lvlText w:val="–"/>
      <w:lvlJc w:val="left"/>
      <w:pPr>
        <w:tabs>
          <w:tab w:val="num" w:pos="6480"/>
        </w:tabs>
        <w:ind w:left="6480" w:hanging="360"/>
      </w:pPr>
      <w:rPr>
        <w:rFonts w:ascii="Intel Clear" w:hAnsi="Intel Clear"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824F97"/>
    <w:multiLevelType w:val="hybridMultilevel"/>
    <w:tmpl w:val="BF128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21C36"/>
    <w:multiLevelType w:val="hybridMultilevel"/>
    <w:tmpl w:val="678CD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E7AEC"/>
    <w:multiLevelType w:val="hybridMultilevel"/>
    <w:tmpl w:val="5F386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2"/>
  </w:num>
  <w:num w:numId="3">
    <w:abstractNumId w:val="20"/>
  </w:num>
  <w:num w:numId="4">
    <w:abstractNumId w:val="24"/>
  </w:num>
  <w:num w:numId="5">
    <w:abstractNumId w:val="12"/>
  </w:num>
  <w:num w:numId="6">
    <w:abstractNumId w:val="19"/>
  </w:num>
  <w:num w:numId="7">
    <w:abstractNumId w:val="10"/>
  </w:num>
  <w:num w:numId="8">
    <w:abstractNumId w:val="1"/>
  </w:num>
  <w:num w:numId="9">
    <w:abstractNumId w:val="3"/>
  </w:num>
  <w:num w:numId="10">
    <w:abstractNumId w:val="18"/>
  </w:num>
  <w:num w:numId="11">
    <w:abstractNumId w:val="23"/>
  </w:num>
  <w:num w:numId="12">
    <w:abstractNumId w:val="26"/>
  </w:num>
  <w:num w:numId="13">
    <w:abstractNumId w:val="25"/>
  </w:num>
  <w:num w:numId="14">
    <w:abstractNumId w:val="5"/>
  </w:num>
  <w:num w:numId="15">
    <w:abstractNumId w:val="21"/>
  </w:num>
  <w:num w:numId="16">
    <w:abstractNumId w:val="6"/>
  </w:num>
  <w:num w:numId="17">
    <w:abstractNumId w:val="17"/>
  </w:num>
  <w:num w:numId="18">
    <w:abstractNumId w:val="2"/>
  </w:num>
  <w:num w:numId="19">
    <w:abstractNumId w:val="7"/>
  </w:num>
  <w:num w:numId="20">
    <w:abstractNumId w:val="9"/>
  </w:num>
  <w:num w:numId="21">
    <w:abstractNumId w:val="4"/>
  </w:num>
  <w:num w:numId="22">
    <w:abstractNumId w:val="16"/>
  </w:num>
  <w:num w:numId="23">
    <w:abstractNumId w:val="8"/>
  </w:num>
  <w:num w:numId="24">
    <w:abstractNumId w:val="14"/>
  </w:num>
  <w:num w:numId="25">
    <w:abstractNumId w:val="11"/>
  </w:num>
  <w:num w:numId="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6F3"/>
    <w:rsid w:val="00003772"/>
    <w:rsid w:val="000037FB"/>
    <w:rsid w:val="000044C3"/>
    <w:rsid w:val="00004885"/>
    <w:rsid w:val="00004CD0"/>
    <w:rsid w:val="00004D8C"/>
    <w:rsid w:val="00004DCB"/>
    <w:rsid w:val="00004F3E"/>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3AF"/>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339"/>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B6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47E40"/>
    <w:rsid w:val="0005055B"/>
    <w:rsid w:val="000505E0"/>
    <w:rsid w:val="00051135"/>
    <w:rsid w:val="00051586"/>
    <w:rsid w:val="0005201C"/>
    <w:rsid w:val="000520EB"/>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1BA"/>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0B9"/>
    <w:rsid w:val="00083322"/>
    <w:rsid w:val="00083788"/>
    <w:rsid w:val="00084255"/>
    <w:rsid w:val="00084DAB"/>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37DA"/>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CA8"/>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00"/>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B99"/>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0693"/>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884"/>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0F77EB"/>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2FB5"/>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C27"/>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622"/>
    <w:rsid w:val="00186885"/>
    <w:rsid w:val="00186B4D"/>
    <w:rsid w:val="0018767B"/>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D6C"/>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623"/>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0FB"/>
    <w:rsid w:val="001C433F"/>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1D99"/>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80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004"/>
    <w:rsid w:val="001F7317"/>
    <w:rsid w:val="001F7795"/>
    <w:rsid w:val="001F798D"/>
    <w:rsid w:val="001F7DD6"/>
    <w:rsid w:val="002000F2"/>
    <w:rsid w:val="002000FC"/>
    <w:rsid w:val="002001B1"/>
    <w:rsid w:val="00200A92"/>
    <w:rsid w:val="00200BF9"/>
    <w:rsid w:val="00201C7E"/>
    <w:rsid w:val="00201D85"/>
    <w:rsid w:val="00202201"/>
    <w:rsid w:val="00202204"/>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577"/>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1E5"/>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27"/>
    <w:rsid w:val="00246494"/>
    <w:rsid w:val="00246C52"/>
    <w:rsid w:val="00246EB6"/>
    <w:rsid w:val="002471AB"/>
    <w:rsid w:val="0024785A"/>
    <w:rsid w:val="00247C82"/>
    <w:rsid w:val="00247D8E"/>
    <w:rsid w:val="00247DD1"/>
    <w:rsid w:val="0025048A"/>
    <w:rsid w:val="002509C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CB6"/>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126"/>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145"/>
    <w:rsid w:val="0029178F"/>
    <w:rsid w:val="00291B01"/>
    <w:rsid w:val="002929F4"/>
    <w:rsid w:val="00293504"/>
    <w:rsid w:val="0029390A"/>
    <w:rsid w:val="002944CA"/>
    <w:rsid w:val="00294722"/>
    <w:rsid w:val="00294AB1"/>
    <w:rsid w:val="00295226"/>
    <w:rsid w:val="0029548C"/>
    <w:rsid w:val="00295539"/>
    <w:rsid w:val="00295F1C"/>
    <w:rsid w:val="0029636B"/>
    <w:rsid w:val="002963A1"/>
    <w:rsid w:val="002963EC"/>
    <w:rsid w:val="002965C5"/>
    <w:rsid w:val="00296607"/>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AA2"/>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70F6"/>
    <w:rsid w:val="002C04C2"/>
    <w:rsid w:val="002C0818"/>
    <w:rsid w:val="002C0DD0"/>
    <w:rsid w:val="002C0E0A"/>
    <w:rsid w:val="002C1A51"/>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2057"/>
    <w:rsid w:val="002D2B4E"/>
    <w:rsid w:val="002D3968"/>
    <w:rsid w:val="002D425A"/>
    <w:rsid w:val="002D42FD"/>
    <w:rsid w:val="002D4322"/>
    <w:rsid w:val="002D499A"/>
    <w:rsid w:val="002D4A54"/>
    <w:rsid w:val="002D4E37"/>
    <w:rsid w:val="002D52E0"/>
    <w:rsid w:val="002D5923"/>
    <w:rsid w:val="002D5DEA"/>
    <w:rsid w:val="002D6127"/>
    <w:rsid w:val="002D6240"/>
    <w:rsid w:val="002D6415"/>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3C"/>
    <w:rsid w:val="003024AF"/>
    <w:rsid w:val="003024DE"/>
    <w:rsid w:val="00302701"/>
    <w:rsid w:val="00302739"/>
    <w:rsid w:val="0030323A"/>
    <w:rsid w:val="0030361B"/>
    <w:rsid w:val="00303FB7"/>
    <w:rsid w:val="00304549"/>
    <w:rsid w:val="003045F6"/>
    <w:rsid w:val="00304AC5"/>
    <w:rsid w:val="00304FCA"/>
    <w:rsid w:val="00305BCE"/>
    <w:rsid w:val="003065FB"/>
    <w:rsid w:val="0030783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A2"/>
    <w:rsid w:val="003249F8"/>
    <w:rsid w:val="00326075"/>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17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8B0"/>
    <w:rsid w:val="00343C24"/>
    <w:rsid w:val="00344725"/>
    <w:rsid w:val="0034511B"/>
    <w:rsid w:val="00345F30"/>
    <w:rsid w:val="003469E2"/>
    <w:rsid w:val="003471DC"/>
    <w:rsid w:val="0034745C"/>
    <w:rsid w:val="00347534"/>
    <w:rsid w:val="00347C06"/>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C2B"/>
    <w:rsid w:val="00373E10"/>
    <w:rsid w:val="00373F2C"/>
    <w:rsid w:val="0037406C"/>
    <w:rsid w:val="003741D2"/>
    <w:rsid w:val="003744CB"/>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4ED5"/>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6FC"/>
    <w:rsid w:val="00394775"/>
    <w:rsid w:val="00394B44"/>
    <w:rsid w:val="0039502C"/>
    <w:rsid w:val="00395698"/>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246"/>
    <w:rsid w:val="003A6330"/>
    <w:rsid w:val="003A67EA"/>
    <w:rsid w:val="003A6BC9"/>
    <w:rsid w:val="003A6DF5"/>
    <w:rsid w:val="003A717A"/>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7B3"/>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0B14"/>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0FF7"/>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499"/>
    <w:rsid w:val="00434583"/>
    <w:rsid w:val="00434754"/>
    <w:rsid w:val="0043480E"/>
    <w:rsid w:val="00434A45"/>
    <w:rsid w:val="00434A59"/>
    <w:rsid w:val="00434D46"/>
    <w:rsid w:val="00435248"/>
    <w:rsid w:val="004353C1"/>
    <w:rsid w:val="0043542F"/>
    <w:rsid w:val="004355EB"/>
    <w:rsid w:val="00435602"/>
    <w:rsid w:val="004356FA"/>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3632"/>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56F"/>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1D7"/>
    <w:rsid w:val="00475260"/>
    <w:rsid w:val="004755D5"/>
    <w:rsid w:val="004755EC"/>
    <w:rsid w:val="0047574D"/>
    <w:rsid w:val="00475A1B"/>
    <w:rsid w:val="00475D3E"/>
    <w:rsid w:val="00475E50"/>
    <w:rsid w:val="00475F90"/>
    <w:rsid w:val="00476D8B"/>
    <w:rsid w:val="00476EAE"/>
    <w:rsid w:val="004774C5"/>
    <w:rsid w:val="004775ED"/>
    <w:rsid w:val="0047772C"/>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473"/>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070"/>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DF9"/>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1D5"/>
    <w:rsid w:val="004D2474"/>
    <w:rsid w:val="004D24F2"/>
    <w:rsid w:val="004D27C4"/>
    <w:rsid w:val="004D2E1A"/>
    <w:rsid w:val="004D2E57"/>
    <w:rsid w:val="004D3251"/>
    <w:rsid w:val="004D34CA"/>
    <w:rsid w:val="004D3FA2"/>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336"/>
    <w:rsid w:val="004F4760"/>
    <w:rsid w:val="004F4E53"/>
    <w:rsid w:val="004F58AB"/>
    <w:rsid w:val="004F58B4"/>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B5E"/>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8B6"/>
    <w:rsid w:val="00506A8D"/>
    <w:rsid w:val="00506C2E"/>
    <w:rsid w:val="005074C9"/>
    <w:rsid w:val="00507754"/>
    <w:rsid w:val="00507CAF"/>
    <w:rsid w:val="00510221"/>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5C93"/>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0EE"/>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58E"/>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093"/>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3C5"/>
    <w:rsid w:val="005D382E"/>
    <w:rsid w:val="005D3D16"/>
    <w:rsid w:val="005D4764"/>
    <w:rsid w:val="005D5499"/>
    <w:rsid w:val="005D576B"/>
    <w:rsid w:val="005D594D"/>
    <w:rsid w:val="005D5E46"/>
    <w:rsid w:val="005D609E"/>
    <w:rsid w:val="005D64A5"/>
    <w:rsid w:val="005D6581"/>
    <w:rsid w:val="005D6929"/>
    <w:rsid w:val="005D6B30"/>
    <w:rsid w:val="005D6E1C"/>
    <w:rsid w:val="005D7741"/>
    <w:rsid w:val="005D779A"/>
    <w:rsid w:val="005D77E3"/>
    <w:rsid w:val="005D7E04"/>
    <w:rsid w:val="005E0082"/>
    <w:rsid w:val="005E1385"/>
    <w:rsid w:val="005E1393"/>
    <w:rsid w:val="005E1A58"/>
    <w:rsid w:val="005E1C06"/>
    <w:rsid w:val="005E2E2C"/>
    <w:rsid w:val="005E35FD"/>
    <w:rsid w:val="005E383F"/>
    <w:rsid w:val="005E3CDA"/>
    <w:rsid w:val="005E3E25"/>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EDB"/>
    <w:rsid w:val="005F7F11"/>
    <w:rsid w:val="006004DE"/>
    <w:rsid w:val="00601072"/>
    <w:rsid w:val="0060144E"/>
    <w:rsid w:val="00601754"/>
    <w:rsid w:val="00601D4D"/>
    <w:rsid w:val="00601FCD"/>
    <w:rsid w:val="00602354"/>
    <w:rsid w:val="0060254B"/>
    <w:rsid w:val="0060268D"/>
    <w:rsid w:val="006039C5"/>
    <w:rsid w:val="00603A6D"/>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BA3"/>
    <w:rsid w:val="00627C39"/>
    <w:rsid w:val="00627E44"/>
    <w:rsid w:val="006300D7"/>
    <w:rsid w:val="006302F6"/>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1C77"/>
    <w:rsid w:val="00642D10"/>
    <w:rsid w:val="00643769"/>
    <w:rsid w:val="006437A9"/>
    <w:rsid w:val="00643973"/>
    <w:rsid w:val="00644200"/>
    <w:rsid w:val="0064428B"/>
    <w:rsid w:val="00644511"/>
    <w:rsid w:val="0064486C"/>
    <w:rsid w:val="00644E60"/>
    <w:rsid w:val="00644EC9"/>
    <w:rsid w:val="00644FA5"/>
    <w:rsid w:val="006457B7"/>
    <w:rsid w:val="006466A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E78"/>
    <w:rsid w:val="006704BF"/>
    <w:rsid w:val="006704DD"/>
    <w:rsid w:val="00670AD6"/>
    <w:rsid w:val="00670ECD"/>
    <w:rsid w:val="006710E7"/>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8AD"/>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3FA5"/>
    <w:rsid w:val="006943ED"/>
    <w:rsid w:val="0069447C"/>
    <w:rsid w:val="006949AD"/>
    <w:rsid w:val="006958EA"/>
    <w:rsid w:val="00695E95"/>
    <w:rsid w:val="00696244"/>
    <w:rsid w:val="006969D6"/>
    <w:rsid w:val="00696C02"/>
    <w:rsid w:val="0069703E"/>
    <w:rsid w:val="0069755C"/>
    <w:rsid w:val="006979DC"/>
    <w:rsid w:val="00697C2C"/>
    <w:rsid w:val="006A05EF"/>
    <w:rsid w:val="006A0942"/>
    <w:rsid w:val="006A17F1"/>
    <w:rsid w:val="006A18CF"/>
    <w:rsid w:val="006A18DD"/>
    <w:rsid w:val="006A2347"/>
    <w:rsid w:val="006A24B3"/>
    <w:rsid w:val="006A24CB"/>
    <w:rsid w:val="006A2984"/>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BD7"/>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3BC"/>
    <w:rsid w:val="006C75C9"/>
    <w:rsid w:val="006D0233"/>
    <w:rsid w:val="006D03CD"/>
    <w:rsid w:val="006D0A70"/>
    <w:rsid w:val="006D0AD9"/>
    <w:rsid w:val="006D0DED"/>
    <w:rsid w:val="006D19ED"/>
    <w:rsid w:val="006D1A09"/>
    <w:rsid w:val="006D1A23"/>
    <w:rsid w:val="006D1F1A"/>
    <w:rsid w:val="006D2177"/>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50F"/>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9E6"/>
    <w:rsid w:val="006F1C11"/>
    <w:rsid w:val="006F1D86"/>
    <w:rsid w:val="006F22CB"/>
    <w:rsid w:val="006F291E"/>
    <w:rsid w:val="006F2BFE"/>
    <w:rsid w:val="006F2E21"/>
    <w:rsid w:val="006F3052"/>
    <w:rsid w:val="006F314D"/>
    <w:rsid w:val="006F3667"/>
    <w:rsid w:val="006F3738"/>
    <w:rsid w:val="006F3B01"/>
    <w:rsid w:val="006F3BDF"/>
    <w:rsid w:val="006F4072"/>
    <w:rsid w:val="006F4189"/>
    <w:rsid w:val="006F473D"/>
    <w:rsid w:val="006F4A19"/>
    <w:rsid w:val="006F557B"/>
    <w:rsid w:val="006F5B41"/>
    <w:rsid w:val="006F605B"/>
    <w:rsid w:val="006F6096"/>
    <w:rsid w:val="006F6109"/>
    <w:rsid w:val="006F6175"/>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312"/>
    <w:rsid w:val="00714722"/>
    <w:rsid w:val="0071482A"/>
    <w:rsid w:val="00714D6A"/>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1FF3"/>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1A24"/>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26"/>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51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332"/>
    <w:rsid w:val="007954AC"/>
    <w:rsid w:val="0079601B"/>
    <w:rsid w:val="007962E1"/>
    <w:rsid w:val="0079663F"/>
    <w:rsid w:val="00796F91"/>
    <w:rsid w:val="00797BF1"/>
    <w:rsid w:val="00797DAA"/>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C47"/>
    <w:rsid w:val="007B3D55"/>
    <w:rsid w:val="007B40AD"/>
    <w:rsid w:val="007B448A"/>
    <w:rsid w:val="007B44DC"/>
    <w:rsid w:val="007B4543"/>
    <w:rsid w:val="007B4937"/>
    <w:rsid w:val="007B517C"/>
    <w:rsid w:val="007B5A66"/>
    <w:rsid w:val="007B630D"/>
    <w:rsid w:val="007B697F"/>
    <w:rsid w:val="007B6B89"/>
    <w:rsid w:val="007B6E6A"/>
    <w:rsid w:val="007C0880"/>
    <w:rsid w:val="007C0BD2"/>
    <w:rsid w:val="007C0F3A"/>
    <w:rsid w:val="007C1065"/>
    <w:rsid w:val="007C1537"/>
    <w:rsid w:val="007C1B94"/>
    <w:rsid w:val="007C2A39"/>
    <w:rsid w:val="007C2A91"/>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081"/>
    <w:rsid w:val="007D020B"/>
    <w:rsid w:val="007D0677"/>
    <w:rsid w:val="007D0779"/>
    <w:rsid w:val="007D096E"/>
    <w:rsid w:val="007D098C"/>
    <w:rsid w:val="007D11B6"/>
    <w:rsid w:val="007D149C"/>
    <w:rsid w:val="007D1558"/>
    <w:rsid w:val="007D1B7C"/>
    <w:rsid w:val="007D214A"/>
    <w:rsid w:val="007D2419"/>
    <w:rsid w:val="007D357E"/>
    <w:rsid w:val="007D3889"/>
    <w:rsid w:val="007D39A2"/>
    <w:rsid w:val="007D39D7"/>
    <w:rsid w:val="007D3B96"/>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6D8"/>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2E13"/>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5D9E"/>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4BA8"/>
    <w:rsid w:val="008C59D5"/>
    <w:rsid w:val="008C5B10"/>
    <w:rsid w:val="008C6C7A"/>
    <w:rsid w:val="008C6F4F"/>
    <w:rsid w:val="008C74CC"/>
    <w:rsid w:val="008C7F77"/>
    <w:rsid w:val="008D02CB"/>
    <w:rsid w:val="008D0436"/>
    <w:rsid w:val="008D0459"/>
    <w:rsid w:val="008D05D2"/>
    <w:rsid w:val="008D13DC"/>
    <w:rsid w:val="008D149D"/>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BD5"/>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515"/>
    <w:rsid w:val="008F574F"/>
    <w:rsid w:val="008F595E"/>
    <w:rsid w:val="008F6188"/>
    <w:rsid w:val="008F6649"/>
    <w:rsid w:val="008F68C5"/>
    <w:rsid w:val="008F6BCB"/>
    <w:rsid w:val="008F6CD1"/>
    <w:rsid w:val="008F7BD6"/>
    <w:rsid w:val="008F7CEF"/>
    <w:rsid w:val="009000FD"/>
    <w:rsid w:val="00900DDE"/>
    <w:rsid w:val="00900DF1"/>
    <w:rsid w:val="0090161B"/>
    <w:rsid w:val="00901845"/>
    <w:rsid w:val="00901A21"/>
    <w:rsid w:val="009021E3"/>
    <w:rsid w:val="009022BC"/>
    <w:rsid w:val="009023FF"/>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1510"/>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093"/>
    <w:rsid w:val="0093311E"/>
    <w:rsid w:val="00933D61"/>
    <w:rsid w:val="00933DE4"/>
    <w:rsid w:val="0093457F"/>
    <w:rsid w:val="009355F0"/>
    <w:rsid w:val="00935B52"/>
    <w:rsid w:val="00936951"/>
    <w:rsid w:val="00936A90"/>
    <w:rsid w:val="009370A6"/>
    <w:rsid w:val="00937AC7"/>
    <w:rsid w:val="00937C54"/>
    <w:rsid w:val="00937D15"/>
    <w:rsid w:val="0094062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1BC"/>
    <w:rsid w:val="00945248"/>
    <w:rsid w:val="00945E49"/>
    <w:rsid w:val="009462D8"/>
    <w:rsid w:val="00946388"/>
    <w:rsid w:val="009466A7"/>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0E61"/>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BFE"/>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2"/>
    <w:rsid w:val="009838CE"/>
    <w:rsid w:val="00983C41"/>
    <w:rsid w:val="00984206"/>
    <w:rsid w:val="00984F02"/>
    <w:rsid w:val="0098511E"/>
    <w:rsid w:val="009852B3"/>
    <w:rsid w:val="0098541D"/>
    <w:rsid w:val="00985436"/>
    <w:rsid w:val="00985B9D"/>
    <w:rsid w:val="00985CA4"/>
    <w:rsid w:val="00986956"/>
    <w:rsid w:val="0098704E"/>
    <w:rsid w:val="009876A0"/>
    <w:rsid w:val="009879B5"/>
    <w:rsid w:val="009879F4"/>
    <w:rsid w:val="00991063"/>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626"/>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45EC"/>
    <w:rsid w:val="009E53AA"/>
    <w:rsid w:val="009E53D6"/>
    <w:rsid w:val="009E5656"/>
    <w:rsid w:val="009E5AB4"/>
    <w:rsid w:val="009E5B98"/>
    <w:rsid w:val="009E605E"/>
    <w:rsid w:val="009E641D"/>
    <w:rsid w:val="009E6F6E"/>
    <w:rsid w:val="009E776E"/>
    <w:rsid w:val="009E798E"/>
    <w:rsid w:val="009F06F6"/>
    <w:rsid w:val="009F0C38"/>
    <w:rsid w:val="009F0CD1"/>
    <w:rsid w:val="009F1033"/>
    <w:rsid w:val="009F16E5"/>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39B3"/>
    <w:rsid w:val="00A24150"/>
    <w:rsid w:val="00A2470A"/>
    <w:rsid w:val="00A2481C"/>
    <w:rsid w:val="00A24CCF"/>
    <w:rsid w:val="00A25621"/>
    <w:rsid w:val="00A25A28"/>
    <w:rsid w:val="00A261E4"/>
    <w:rsid w:val="00A26883"/>
    <w:rsid w:val="00A26971"/>
    <w:rsid w:val="00A26D60"/>
    <w:rsid w:val="00A26EE0"/>
    <w:rsid w:val="00A27C60"/>
    <w:rsid w:val="00A27E6C"/>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47F"/>
    <w:rsid w:val="00A35735"/>
    <w:rsid w:val="00A35A0B"/>
    <w:rsid w:val="00A362CB"/>
    <w:rsid w:val="00A36694"/>
    <w:rsid w:val="00A3747D"/>
    <w:rsid w:val="00A37A59"/>
    <w:rsid w:val="00A4034F"/>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3484"/>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E9F"/>
    <w:rsid w:val="00A57F96"/>
    <w:rsid w:val="00A60269"/>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B3F"/>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6D4"/>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20"/>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C71C3"/>
    <w:rsid w:val="00AD118D"/>
    <w:rsid w:val="00AD12BD"/>
    <w:rsid w:val="00AD163D"/>
    <w:rsid w:val="00AD1C9F"/>
    <w:rsid w:val="00AD1DFE"/>
    <w:rsid w:val="00AD1F06"/>
    <w:rsid w:val="00AD2447"/>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159"/>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19E"/>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4E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BA"/>
    <w:rsid w:val="00B430D3"/>
    <w:rsid w:val="00B432D4"/>
    <w:rsid w:val="00B437BD"/>
    <w:rsid w:val="00B43985"/>
    <w:rsid w:val="00B439FA"/>
    <w:rsid w:val="00B43D4D"/>
    <w:rsid w:val="00B440CF"/>
    <w:rsid w:val="00B44210"/>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3C7"/>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3CA"/>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7E5"/>
    <w:rsid w:val="00BC165A"/>
    <w:rsid w:val="00BC16BF"/>
    <w:rsid w:val="00BC1A03"/>
    <w:rsid w:val="00BC1A99"/>
    <w:rsid w:val="00BC2013"/>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7B0"/>
    <w:rsid w:val="00BE3EA0"/>
    <w:rsid w:val="00BE403F"/>
    <w:rsid w:val="00BE475F"/>
    <w:rsid w:val="00BE5519"/>
    <w:rsid w:val="00BE57B1"/>
    <w:rsid w:val="00BE5813"/>
    <w:rsid w:val="00BE65B3"/>
    <w:rsid w:val="00BE6683"/>
    <w:rsid w:val="00BE7B27"/>
    <w:rsid w:val="00BF0058"/>
    <w:rsid w:val="00BF02E6"/>
    <w:rsid w:val="00BF08B0"/>
    <w:rsid w:val="00BF0CEB"/>
    <w:rsid w:val="00BF0F15"/>
    <w:rsid w:val="00BF10D2"/>
    <w:rsid w:val="00BF120B"/>
    <w:rsid w:val="00BF12B0"/>
    <w:rsid w:val="00BF1309"/>
    <w:rsid w:val="00BF220D"/>
    <w:rsid w:val="00BF2372"/>
    <w:rsid w:val="00BF2817"/>
    <w:rsid w:val="00BF2FD9"/>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438A"/>
    <w:rsid w:val="00C04768"/>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80D"/>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A9C"/>
    <w:rsid w:val="00C463BB"/>
    <w:rsid w:val="00C46B53"/>
    <w:rsid w:val="00C46B75"/>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AE5"/>
    <w:rsid w:val="00C62BE7"/>
    <w:rsid w:val="00C62C31"/>
    <w:rsid w:val="00C633AB"/>
    <w:rsid w:val="00C6343A"/>
    <w:rsid w:val="00C64376"/>
    <w:rsid w:val="00C64626"/>
    <w:rsid w:val="00C64849"/>
    <w:rsid w:val="00C64D90"/>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849"/>
    <w:rsid w:val="00C94C81"/>
    <w:rsid w:val="00C94E45"/>
    <w:rsid w:val="00C95300"/>
    <w:rsid w:val="00C95548"/>
    <w:rsid w:val="00C95730"/>
    <w:rsid w:val="00C95962"/>
    <w:rsid w:val="00C95CD4"/>
    <w:rsid w:val="00C96FE0"/>
    <w:rsid w:val="00C97001"/>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866"/>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2D49"/>
    <w:rsid w:val="00CD309B"/>
    <w:rsid w:val="00CD3122"/>
    <w:rsid w:val="00CD325D"/>
    <w:rsid w:val="00CD3D0C"/>
    <w:rsid w:val="00CD3E10"/>
    <w:rsid w:val="00CD3F09"/>
    <w:rsid w:val="00CD3FAF"/>
    <w:rsid w:val="00CD42B1"/>
    <w:rsid w:val="00CD492B"/>
    <w:rsid w:val="00CD4CB4"/>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817"/>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D72"/>
    <w:rsid w:val="00D20F77"/>
    <w:rsid w:val="00D2109E"/>
    <w:rsid w:val="00D215E6"/>
    <w:rsid w:val="00D2171B"/>
    <w:rsid w:val="00D217CE"/>
    <w:rsid w:val="00D21AF0"/>
    <w:rsid w:val="00D21C03"/>
    <w:rsid w:val="00D22148"/>
    <w:rsid w:val="00D22D2B"/>
    <w:rsid w:val="00D23556"/>
    <w:rsid w:val="00D2390D"/>
    <w:rsid w:val="00D23B89"/>
    <w:rsid w:val="00D23CE2"/>
    <w:rsid w:val="00D23DC3"/>
    <w:rsid w:val="00D23EAA"/>
    <w:rsid w:val="00D2467D"/>
    <w:rsid w:val="00D2588C"/>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B67"/>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07D"/>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485"/>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84D"/>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86C"/>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37B"/>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2E7"/>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1FA0"/>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0CBD"/>
    <w:rsid w:val="00E51548"/>
    <w:rsid w:val="00E515A3"/>
    <w:rsid w:val="00E51E23"/>
    <w:rsid w:val="00E52CCE"/>
    <w:rsid w:val="00E52F76"/>
    <w:rsid w:val="00E53098"/>
    <w:rsid w:val="00E5315C"/>
    <w:rsid w:val="00E53797"/>
    <w:rsid w:val="00E538E0"/>
    <w:rsid w:val="00E54391"/>
    <w:rsid w:val="00E54A03"/>
    <w:rsid w:val="00E54D33"/>
    <w:rsid w:val="00E55BA5"/>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574"/>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DFA"/>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168"/>
    <w:rsid w:val="00E9346A"/>
    <w:rsid w:val="00E93A7A"/>
    <w:rsid w:val="00E93B3D"/>
    <w:rsid w:val="00E93D80"/>
    <w:rsid w:val="00E93D98"/>
    <w:rsid w:val="00E942A2"/>
    <w:rsid w:val="00E94307"/>
    <w:rsid w:val="00E94762"/>
    <w:rsid w:val="00E94CE0"/>
    <w:rsid w:val="00E95754"/>
    <w:rsid w:val="00E95B52"/>
    <w:rsid w:val="00E95D01"/>
    <w:rsid w:val="00E96136"/>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75F"/>
    <w:rsid w:val="00EA4877"/>
    <w:rsid w:val="00EA4AC2"/>
    <w:rsid w:val="00EA5029"/>
    <w:rsid w:val="00EA5335"/>
    <w:rsid w:val="00EA6506"/>
    <w:rsid w:val="00EA6ABE"/>
    <w:rsid w:val="00EA6E42"/>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D96"/>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338"/>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AD9"/>
    <w:rsid w:val="00EF3D43"/>
    <w:rsid w:val="00EF447D"/>
    <w:rsid w:val="00EF493B"/>
    <w:rsid w:val="00EF4F32"/>
    <w:rsid w:val="00EF5326"/>
    <w:rsid w:val="00EF5861"/>
    <w:rsid w:val="00EF587C"/>
    <w:rsid w:val="00EF6141"/>
    <w:rsid w:val="00EF6EF5"/>
    <w:rsid w:val="00EF7614"/>
    <w:rsid w:val="00EF7878"/>
    <w:rsid w:val="00EF7D60"/>
    <w:rsid w:val="00EF7DF6"/>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0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12B"/>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0CB8"/>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5EF7"/>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EAC"/>
    <w:rsid w:val="00F72FC0"/>
    <w:rsid w:val="00F73D87"/>
    <w:rsid w:val="00F73F43"/>
    <w:rsid w:val="00F74609"/>
    <w:rsid w:val="00F74664"/>
    <w:rsid w:val="00F74791"/>
    <w:rsid w:val="00F74A7A"/>
    <w:rsid w:val="00F7540D"/>
    <w:rsid w:val="00F7564B"/>
    <w:rsid w:val="00F76337"/>
    <w:rsid w:val="00F763DF"/>
    <w:rsid w:val="00F76AC9"/>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1E2B"/>
    <w:rsid w:val="00FA2002"/>
    <w:rsid w:val="00FA2526"/>
    <w:rsid w:val="00FA2AB0"/>
    <w:rsid w:val="00FA3C84"/>
    <w:rsid w:val="00FA44E1"/>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2B2"/>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14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04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mw-headline">
    <w:name w:val="mw-headline"/>
    <w:basedOn w:val="DefaultParagraphFont"/>
    <w:rsid w:val="00C46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56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0197765">
      <w:bodyDiv w:val="1"/>
      <w:marLeft w:val="0"/>
      <w:marRight w:val="0"/>
      <w:marTop w:val="0"/>
      <w:marBottom w:val="0"/>
      <w:divBdr>
        <w:top w:val="none" w:sz="0" w:space="0" w:color="auto"/>
        <w:left w:val="none" w:sz="0" w:space="0" w:color="auto"/>
        <w:bottom w:val="none" w:sz="0" w:space="0" w:color="auto"/>
        <w:right w:val="none" w:sz="0" w:space="0" w:color="auto"/>
      </w:divBdr>
      <w:divsChild>
        <w:div w:id="1913081112">
          <w:marLeft w:val="360"/>
          <w:marRight w:val="0"/>
          <w:marTop w:val="24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757146">
      <w:bodyDiv w:val="1"/>
      <w:marLeft w:val="0"/>
      <w:marRight w:val="0"/>
      <w:marTop w:val="0"/>
      <w:marBottom w:val="0"/>
      <w:divBdr>
        <w:top w:val="none" w:sz="0" w:space="0" w:color="auto"/>
        <w:left w:val="none" w:sz="0" w:space="0" w:color="auto"/>
        <w:bottom w:val="none" w:sz="0" w:space="0" w:color="auto"/>
        <w:right w:val="none" w:sz="0" w:space="0" w:color="auto"/>
      </w:divBdr>
      <w:divsChild>
        <w:div w:id="134221983">
          <w:marLeft w:val="907"/>
          <w:marRight w:val="0"/>
          <w:marTop w:val="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892421">
      <w:bodyDiv w:val="1"/>
      <w:marLeft w:val="0"/>
      <w:marRight w:val="0"/>
      <w:marTop w:val="0"/>
      <w:marBottom w:val="0"/>
      <w:divBdr>
        <w:top w:val="none" w:sz="0" w:space="0" w:color="auto"/>
        <w:left w:val="none" w:sz="0" w:space="0" w:color="auto"/>
        <w:bottom w:val="none" w:sz="0" w:space="0" w:color="auto"/>
        <w:right w:val="none" w:sz="0" w:space="0" w:color="auto"/>
      </w:divBdr>
      <w:divsChild>
        <w:div w:id="783353527">
          <w:marLeft w:val="907"/>
          <w:marRight w:val="0"/>
          <w:marTop w:val="4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00807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0748945">
      <w:bodyDiv w:val="1"/>
      <w:marLeft w:val="0"/>
      <w:marRight w:val="0"/>
      <w:marTop w:val="0"/>
      <w:marBottom w:val="0"/>
      <w:divBdr>
        <w:top w:val="none" w:sz="0" w:space="0" w:color="auto"/>
        <w:left w:val="none" w:sz="0" w:space="0" w:color="auto"/>
        <w:bottom w:val="none" w:sz="0" w:space="0" w:color="auto"/>
        <w:right w:val="none" w:sz="0" w:space="0" w:color="auto"/>
      </w:divBdr>
      <w:divsChild>
        <w:div w:id="1190097000">
          <w:marLeft w:val="907"/>
          <w:marRight w:val="0"/>
          <w:marTop w:val="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4407723">
      <w:bodyDiv w:val="1"/>
      <w:marLeft w:val="0"/>
      <w:marRight w:val="0"/>
      <w:marTop w:val="0"/>
      <w:marBottom w:val="0"/>
      <w:divBdr>
        <w:top w:val="none" w:sz="0" w:space="0" w:color="auto"/>
        <w:left w:val="none" w:sz="0" w:space="0" w:color="auto"/>
        <w:bottom w:val="none" w:sz="0" w:space="0" w:color="auto"/>
        <w:right w:val="none" w:sz="0" w:space="0" w:color="auto"/>
      </w:divBdr>
      <w:divsChild>
        <w:div w:id="2059164862">
          <w:marLeft w:val="907"/>
          <w:marRight w:val="0"/>
          <w:marTop w:val="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D9957-00AF-4B6E-AF99-EF17A00B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2975</Words>
  <Characters>15361</Characters>
  <Application>Microsoft Office Word</Application>
  <DocSecurity>0</DocSecurity>
  <Lines>222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2016-10-01T06:13:00Z</dcterms:created>
  <dcterms:modified xsi:type="dcterms:W3CDTF">2016-10-01T06:13:00Z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12758db9-7e01-4ea1-9840-172aca3796a1</vt:lpwstr>
  </property>
  <property fmtid="{D5CDD505-2E9C-101B-9397-08002B2CF9AE}" pid="3" name="CTP_TimeStamp">
    <vt:lpwstr>2016-10-01 06:13:51Z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